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5EE9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b w:val="0"/>
          <w:bCs w:val="0"/>
          <w:sz w:val="32"/>
          <w:szCs w:val="32"/>
        </w:rPr>
      </w:pPr>
    </w:p>
    <w:p w14:paraId="59497728">
      <w:pPr>
        <w:keepNext w:val="0"/>
        <w:keepLines w:val="0"/>
        <w:pageBreakBefore w:val="0"/>
        <w:widowControl w:val="0"/>
        <w:kinsoku/>
        <w:wordWrap/>
        <w:overflowPunct/>
        <w:topLinePunct w:val="0"/>
        <w:autoSpaceDE/>
        <w:autoSpaceDN/>
        <w:bidi w:val="0"/>
        <w:adjustRightInd/>
        <w:snapToGrid/>
        <w:spacing w:line="560" w:lineRule="exact"/>
        <w:ind w:left="0" w:leftChars="0" w:firstLine="0"/>
        <w:jc w:val="center"/>
        <w:textAlignment w:val="auto"/>
        <w:outlineLvl w:val="9"/>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rPr>
        <w:t>伊宁县202</w:t>
      </w:r>
      <w:r>
        <w:rPr>
          <w:rFonts w:hint="eastAsia" w:ascii="微软雅黑" w:hAnsi="微软雅黑" w:eastAsia="微软雅黑" w:cs="微软雅黑"/>
          <w:b/>
          <w:bCs/>
          <w:sz w:val="36"/>
          <w:szCs w:val="36"/>
          <w:lang w:val="en-US" w:eastAsia="zh-CN"/>
        </w:rPr>
        <w:t>6</w:t>
      </w:r>
      <w:r>
        <w:rPr>
          <w:rFonts w:hint="eastAsia" w:ascii="微软雅黑" w:hAnsi="微软雅黑" w:eastAsia="微软雅黑" w:cs="微软雅黑"/>
          <w:b/>
          <w:bCs/>
          <w:sz w:val="36"/>
          <w:szCs w:val="36"/>
        </w:rPr>
        <w:t>年</w:t>
      </w:r>
      <w:r>
        <w:rPr>
          <w:rFonts w:hint="eastAsia" w:ascii="微软雅黑" w:hAnsi="微软雅黑" w:eastAsia="微软雅黑" w:cs="微软雅黑"/>
          <w:b/>
          <w:bCs/>
          <w:sz w:val="36"/>
          <w:szCs w:val="36"/>
          <w:lang w:val="en-US" w:eastAsia="zh-CN"/>
        </w:rPr>
        <w:t>优化到户产业奖补政策促进农民持续增收的实施方案</w:t>
      </w:r>
    </w:p>
    <w:p w14:paraId="28C465B8">
      <w:pPr>
        <w:keepNext w:val="0"/>
        <w:keepLines w:val="0"/>
        <w:pageBreakBefore w:val="0"/>
        <w:widowControl w:val="0"/>
        <w:kinsoku/>
        <w:wordWrap/>
        <w:overflowPunct/>
        <w:topLinePunct w:val="0"/>
        <w:autoSpaceDE/>
        <w:autoSpaceDN/>
        <w:bidi w:val="0"/>
        <w:adjustRightInd/>
        <w:snapToGrid/>
        <w:spacing w:line="560" w:lineRule="exact"/>
        <w:ind w:left="1807" w:leftChars="0" w:hanging="1807" w:hangingChars="500"/>
        <w:textAlignment w:val="auto"/>
        <w:rPr>
          <w:rFonts w:hint="eastAsia" w:ascii="方正仿宋_GB2312" w:hAnsi="方正仿宋_GB2312" w:eastAsia="方正仿宋_GB2312" w:cs="方正仿宋_GB2312"/>
          <w:b/>
          <w:bCs/>
          <w:sz w:val="36"/>
          <w:szCs w:val="36"/>
        </w:rPr>
      </w:pPr>
    </w:p>
    <w:p w14:paraId="49058C8C">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根据自治区党委、人民政府关于常态化产业帮扶的部署要求，自治区农业农村厅新农帮扶【2026】80号文件要求，为进一步优化到户产业奖补政策，促进“帮扶对象”持续稳定增收。现结合伊宁县实际，制定如下方案。</w:t>
      </w:r>
    </w:p>
    <w:p w14:paraId="6991D2A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一、奖补对象、范围、额度和原则</w:t>
      </w:r>
    </w:p>
    <w:p w14:paraId="44C2DF7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rPr>
      </w:pPr>
      <w:r>
        <w:rPr>
          <w:rFonts w:hint="eastAsia" w:ascii="楷体_GB2312" w:hAnsi="楷体_GB2312" w:eastAsia="楷体_GB2312" w:cs="楷体_GB2312"/>
          <w:b/>
          <w:bCs/>
          <w:sz w:val="32"/>
          <w:szCs w:val="32"/>
        </w:rPr>
        <w:t>（一）奖补对象。</w:t>
      </w:r>
      <w:r>
        <w:rPr>
          <w:rFonts w:hint="eastAsia" w:ascii="方正仿宋_GB2312" w:hAnsi="方正仿宋_GB2312" w:eastAsia="方正仿宋_GB2312" w:cs="方正仿宋_GB2312"/>
          <w:b w:val="0"/>
          <w:bCs w:val="0"/>
          <w:sz w:val="32"/>
          <w:szCs w:val="32"/>
          <w:lang w:val="en-US" w:eastAsia="zh-CN"/>
        </w:rPr>
        <w:t>对有劳动能力的防止返贫致贫对象和继续帮扶的脱贫人口（以下统称“帮扶对象”），根据发展能</w:t>
      </w:r>
      <w:r>
        <w:rPr>
          <w:rFonts w:hint="eastAsia" w:ascii="方正仿宋_GB2312" w:hAnsi="方正仿宋_GB2312" w:eastAsia="方正仿宋_GB2312" w:cs="方正仿宋_GB2312"/>
          <w:b w:val="0"/>
          <w:bCs w:val="0"/>
          <w:sz w:val="32"/>
          <w:szCs w:val="32"/>
        </w:rPr>
        <w:t>力和发展意愿分类精准施策。</w:t>
      </w:r>
      <w:r>
        <w:rPr>
          <w:rFonts w:hint="eastAsia" w:ascii="黑体" w:hAnsi="黑体" w:eastAsia="黑体" w:cs="黑体"/>
          <w:b/>
          <w:bCs/>
          <w:sz w:val="32"/>
          <w:szCs w:val="32"/>
        </w:rPr>
        <w:t>帮扶对象退出帮扶后，退出前申请实施的到户奖补项目，延续至项目结束。</w:t>
      </w:r>
    </w:p>
    <w:p w14:paraId="12477ED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楷体_GB2312" w:hAnsi="楷体_GB2312" w:eastAsia="楷体_GB2312" w:cs="楷体_GB2312"/>
          <w:b/>
          <w:bCs/>
          <w:sz w:val="32"/>
          <w:szCs w:val="32"/>
        </w:rPr>
        <w:t>（二）奖补范围。</w:t>
      </w:r>
      <w:r>
        <w:rPr>
          <w:rFonts w:hint="eastAsia" w:ascii="方正仿宋_GB2312" w:hAnsi="方正仿宋_GB2312" w:eastAsia="方正仿宋_GB2312" w:cs="方正仿宋_GB2312"/>
          <w:b w:val="0"/>
          <w:bCs w:val="0"/>
          <w:sz w:val="32"/>
          <w:szCs w:val="32"/>
          <w:lang w:val="en-US" w:eastAsia="zh-CN"/>
        </w:rPr>
        <w:t>各乡镇引导帮扶对象自主参与主导产业发展，因户施策开展种植、林果、畜牧、特色种养、庭院经济、手工经济、经营性服务业等适合家庭经营的到户项目，促进农户参与市场竞争、拓宽增收渠道，稳定提升经营性收入。</w:t>
      </w:r>
    </w:p>
    <w:p w14:paraId="5588CD7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黑体" w:cs="Times New Roman"/>
          <w:strike w:val="0"/>
          <w:dstrike w:val="0"/>
          <w:color w:val="auto"/>
          <w:spacing w:val="0"/>
          <w:sz w:val="32"/>
          <w:szCs w:val="32"/>
          <w:highlight w:val="none"/>
          <w:u w:val="none" w:color="auto"/>
          <w:lang w:val="en-US" w:eastAsia="zh-CN"/>
        </w:rPr>
      </w:pPr>
      <w:r>
        <w:rPr>
          <w:rFonts w:hint="eastAsia" w:ascii="楷体_GB2312" w:hAnsi="楷体_GB2312" w:eastAsia="楷体_GB2312" w:cs="楷体_GB2312"/>
          <w:b/>
          <w:bCs/>
          <w:sz w:val="32"/>
          <w:szCs w:val="32"/>
        </w:rPr>
        <w:t>（三）奖补额度</w:t>
      </w:r>
      <w:r>
        <w:rPr>
          <w:rFonts w:hint="eastAsia" w:ascii="方正仿宋_GB2312" w:hAnsi="方正仿宋_GB2312" w:eastAsia="方正仿宋_GB2312" w:cs="方正仿宋_GB2312"/>
          <w:b/>
          <w:bCs/>
          <w:sz w:val="32"/>
          <w:szCs w:val="32"/>
        </w:rPr>
        <w:t>。</w:t>
      </w:r>
      <w:r>
        <w:rPr>
          <w:rFonts w:hint="default" w:ascii="方正仿宋_GB2312" w:hAnsi="方正仿宋_GB2312" w:eastAsia="方正仿宋_GB2312" w:cs="方正仿宋_GB2312"/>
          <w:b w:val="0"/>
          <w:bCs w:val="0"/>
          <w:sz w:val="32"/>
          <w:szCs w:val="32"/>
          <w:lang w:val="en-US" w:eastAsia="zh-CN"/>
        </w:rPr>
        <w:t>对有劳动能力的继续帮扶的脱贫人口，单户年度累计享受奖补资金不超过当年自治区防止返贫致贫收入标准；有劳动能力的防止返贫致贫对象单户奖补额度可上浮20%。以常态化帮扶资金为主要支撑。原则上各环节奖补标准不超过实际投入的30%。</w:t>
      </w:r>
      <w:r>
        <w:rPr>
          <w:rFonts w:hint="default" w:ascii="Times New Roman" w:hAnsi="Times New Roman" w:eastAsia="黑体" w:cs="Times New Roman"/>
          <w:strike w:val="0"/>
          <w:dstrike w:val="0"/>
          <w:color w:val="auto"/>
          <w:spacing w:val="0"/>
          <w:sz w:val="32"/>
          <w:szCs w:val="32"/>
          <w:highlight w:val="none"/>
          <w:u w:val="none" w:color="auto"/>
          <w:lang w:val="en-US" w:eastAsia="zh-CN"/>
        </w:rPr>
        <w:t>所有奖补均为一次性奖补，对当年已获得财政资金奖补的项目在同一环节不再重复奖补。</w:t>
      </w:r>
    </w:p>
    <w:p w14:paraId="0F33BB0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eastAsia" w:ascii="楷体_GB2312" w:hAnsi="楷体_GB2312" w:eastAsia="楷体_GB2312" w:cs="楷体_GB2312"/>
          <w:b/>
          <w:bCs/>
          <w:sz w:val="32"/>
          <w:szCs w:val="32"/>
        </w:rPr>
        <w:t>（四）奖补原则</w:t>
      </w:r>
      <w:r>
        <w:rPr>
          <w:rFonts w:hint="eastAsia" w:ascii="楷体_GB2312" w:hAnsi="楷体_GB2312" w:eastAsia="楷体_GB2312" w:cs="楷体_GB2312"/>
          <w:b/>
          <w:bCs/>
          <w:sz w:val="32"/>
          <w:szCs w:val="32"/>
          <w:lang w:eastAsia="zh-CN"/>
        </w:rPr>
        <w:t>。</w:t>
      </w:r>
      <w:r>
        <w:rPr>
          <w:rFonts w:hint="default" w:ascii="方正仿宋_GB2312" w:hAnsi="方正仿宋_GB2312" w:eastAsia="方正仿宋_GB2312" w:cs="方正仿宋_GB2312"/>
          <w:b w:val="0"/>
          <w:bCs w:val="0"/>
          <w:sz w:val="32"/>
          <w:szCs w:val="32"/>
          <w:lang w:val="en-US" w:eastAsia="zh-CN"/>
        </w:rPr>
        <w:t>坚持政府引导、尊重农民意愿，农民自主生产经营，做到以干定补、干好再补、不干不补，激发内生动力，避免“一补了之”。坚持因地制宜、聚焦主导产业，引导农民深度融入当地主导产业链条，做好“土特产”文章。坚持精准帮扶、强化联农带农，因户施策精准帮扶，通过滚动式发展不断扩大生产经营规模，确保产业发展可持续，帮扶对象长久受益。坚持政策协同、用好各类资源，加强财政、金融等政策有效衔接，形成联动效应。</w:t>
      </w:r>
    </w:p>
    <w:p w14:paraId="229418E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支持环节和标准</w:t>
      </w:r>
      <w:r>
        <w:rPr>
          <w:rFonts w:hint="eastAsia" w:ascii="黑体" w:hAnsi="黑体" w:eastAsia="黑体" w:cs="黑体"/>
          <w:b/>
          <w:bCs/>
          <w:sz w:val="32"/>
          <w:szCs w:val="32"/>
        </w:rPr>
        <w:tab/>
      </w:r>
    </w:p>
    <w:p w14:paraId="0342D3E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一</w:t>
      </w: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种植业。</w:t>
      </w:r>
      <w:r>
        <w:rPr>
          <w:rFonts w:hint="default" w:ascii="方正仿宋_GB2312" w:hAnsi="方正仿宋_GB2312" w:eastAsia="方正仿宋_GB2312" w:cs="方正仿宋_GB2312"/>
          <w:b w:val="0"/>
          <w:bCs w:val="0"/>
          <w:sz w:val="32"/>
          <w:szCs w:val="32"/>
          <w:lang w:val="en-US" w:eastAsia="zh-CN"/>
        </w:rPr>
        <w:t>围绕小麦、玉米、水稻、豆类、薯类、杂粮等粮食生产，种植面积在1亩以上，运用“良田、良种、良机、良法”，实现粮食产能提升的适当奖补。</w:t>
      </w:r>
    </w:p>
    <w:p w14:paraId="774E638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 xml:space="preserve">牵头单位：农业农村局  </w:t>
      </w:r>
      <w:r>
        <w:rPr>
          <w:rFonts w:hint="eastAsia" w:ascii="方正仿宋_GB2312" w:hAnsi="方正仿宋_GB2312" w:eastAsia="方正仿宋_GB2312" w:cs="方正仿宋_GB2312"/>
          <w:b/>
          <w:bCs/>
          <w:sz w:val="32"/>
          <w:szCs w:val="32"/>
        </w:rPr>
        <w:t>责任单位：</w:t>
      </w:r>
      <w:r>
        <w:rPr>
          <w:rFonts w:hint="eastAsia" w:ascii="方正仿宋_GB2312" w:hAnsi="方正仿宋_GB2312" w:eastAsia="方正仿宋_GB2312" w:cs="方正仿宋_GB2312"/>
          <w:b/>
          <w:bCs/>
          <w:sz w:val="32"/>
          <w:szCs w:val="32"/>
          <w:lang w:val="en-US" w:eastAsia="zh-CN"/>
        </w:rPr>
        <w:t>各乡镇</w:t>
      </w:r>
    </w:p>
    <w:p w14:paraId="0F1413C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1.</w:t>
      </w:r>
      <w:bookmarkStart w:id="0" w:name="OLE_LINK9"/>
      <w:r>
        <w:rPr>
          <w:rFonts w:hint="default" w:ascii="Times New Roman" w:hAnsi="Times New Roman" w:eastAsia="仿宋_GB2312" w:cs="Times New Roman"/>
          <w:b/>
          <w:bCs/>
          <w:color w:val="auto"/>
          <w:spacing w:val="0"/>
          <w:kern w:val="2"/>
          <w:sz w:val="32"/>
          <w:szCs w:val="32"/>
          <w:highlight w:val="none"/>
          <w:u w:val="none" w:color="auto"/>
          <w:lang w:val="en-US" w:eastAsia="zh-CN" w:bidi="ar-SA"/>
        </w:rPr>
        <w:t>耕地质量提升。</w:t>
      </w:r>
      <w:bookmarkEnd w:id="0"/>
      <w:bookmarkStart w:id="1" w:name="OLE_LINK10"/>
      <w:r>
        <w:rPr>
          <w:rFonts w:hint="default" w:ascii="方正仿宋_GB2312" w:hAnsi="方正仿宋_GB2312" w:eastAsia="方正仿宋_GB2312" w:cs="方正仿宋_GB2312"/>
          <w:b w:val="0"/>
          <w:bCs w:val="0"/>
          <w:sz w:val="32"/>
          <w:szCs w:val="32"/>
          <w:lang w:val="en-US" w:eastAsia="zh-CN"/>
        </w:rPr>
        <w:t>对实施深松作业的，按照每亩15元的标准奖补；对种植绿肥、实施秸秆还田的，按照每亩20元的标准奖补；对积造有机肥并施用的，按照每亩50元的标准奖补。</w:t>
      </w:r>
      <w:bookmarkEnd w:id="1"/>
    </w:p>
    <w:p w14:paraId="1776E9B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2.关键技术运用。</w:t>
      </w:r>
      <w:r>
        <w:rPr>
          <w:rFonts w:hint="default" w:ascii="方正仿宋_GB2312" w:hAnsi="方正仿宋_GB2312" w:eastAsia="方正仿宋_GB2312" w:cs="方正仿宋_GB2312"/>
          <w:b w:val="0"/>
          <w:bCs w:val="0"/>
          <w:sz w:val="32"/>
          <w:szCs w:val="32"/>
          <w:lang w:val="en-US" w:eastAsia="zh-CN"/>
        </w:rPr>
        <w:t>对实施节水滴灌灌溉模式，实现水肥一体化种植的，按照每亩30元的标准奖补；</w:t>
      </w:r>
      <w:bookmarkStart w:id="2" w:name="OLE_LINK11"/>
      <w:r>
        <w:rPr>
          <w:rFonts w:hint="default" w:ascii="方正仿宋_GB2312" w:hAnsi="方正仿宋_GB2312" w:eastAsia="方正仿宋_GB2312" w:cs="方正仿宋_GB2312"/>
          <w:b w:val="0"/>
          <w:bCs w:val="0"/>
          <w:sz w:val="32"/>
          <w:szCs w:val="32"/>
          <w:lang w:val="en-US" w:eastAsia="zh-CN"/>
        </w:rPr>
        <w:t>对采用</w:t>
      </w:r>
      <w:bookmarkStart w:id="3" w:name="OLE_LINK13"/>
      <w:r>
        <w:rPr>
          <w:rFonts w:hint="default" w:ascii="方正仿宋_GB2312" w:hAnsi="方正仿宋_GB2312" w:eastAsia="方正仿宋_GB2312" w:cs="方正仿宋_GB2312"/>
          <w:b w:val="0"/>
          <w:bCs w:val="0"/>
          <w:sz w:val="32"/>
          <w:szCs w:val="32"/>
          <w:lang w:val="en-US" w:eastAsia="zh-CN"/>
        </w:rPr>
        <w:t>分流式整地机整地</w:t>
      </w:r>
      <w:bookmarkEnd w:id="3"/>
      <w:r>
        <w:rPr>
          <w:rFonts w:hint="default" w:ascii="方正仿宋_GB2312" w:hAnsi="方正仿宋_GB2312" w:eastAsia="方正仿宋_GB2312" w:cs="方正仿宋_GB2312"/>
          <w:b w:val="0"/>
          <w:bCs w:val="0"/>
          <w:sz w:val="32"/>
          <w:szCs w:val="32"/>
          <w:lang w:val="en-US" w:eastAsia="zh-CN"/>
        </w:rPr>
        <w:t>，实现地平苗齐的，按照每亩15元的标准</w:t>
      </w:r>
      <w:bookmarkStart w:id="4" w:name="OLE_LINK7"/>
      <w:r>
        <w:rPr>
          <w:rFonts w:hint="default" w:ascii="方正仿宋_GB2312" w:hAnsi="方正仿宋_GB2312" w:eastAsia="方正仿宋_GB2312" w:cs="方正仿宋_GB2312"/>
          <w:b w:val="0"/>
          <w:bCs w:val="0"/>
          <w:sz w:val="32"/>
          <w:szCs w:val="32"/>
          <w:lang w:val="en-US" w:eastAsia="zh-CN"/>
        </w:rPr>
        <w:t>奖补</w:t>
      </w:r>
      <w:bookmarkEnd w:id="4"/>
      <w:r>
        <w:rPr>
          <w:rFonts w:hint="default" w:ascii="方正仿宋_GB2312" w:hAnsi="方正仿宋_GB2312" w:eastAsia="方正仿宋_GB2312" w:cs="方正仿宋_GB2312"/>
          <w:b w:val="0"/>
          <w:bCs w:val="0"/>
          <w:sz w:val="32"/>
          <w:szCs w:val="32"/>
          <w:lang w:val="en-US" w:eastAsia="zh-CN"/>
        </w:rPr>
        <w:t>。</w:t>
      </w:r>
    </w:p>
    <w:bookmarkEnd w:id="2"/>
    <w:p w14:paraId="310A242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3.</w:t>
      </w:r>
      <w:bookmarkStart w:id="5" w:name="OLE_LINK14"/>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病虫草鼠害防治</w:t>
      </w:r>
      <w:bookmarkEnd w:id="5"/>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w:t>
      </w:r>
      <w:r>
        <w:rPr>
          <w:rFonts w:hint="default" w:ascii="方正仿宋_GB2312" w:hAnsi="方正仿宋_GB2312" w:eastAsia="方正仿宋_GB2312" w:cs="方正仿宋_GB2312"/>
          <w:b w:val="0"/>
          <w:bCs w:val="0"/>
          <w:sz w:val="32"/>
          <w:szCs w:val="32"/>
          <w:lang w:val="en-US" w:eastAsia="zh-CN"/>
        </w:rPr>
        <w:t>对采用绿色防控措施开展粮食病虫草鼠害防治，提升作物品质的，按照每亩30元的标准奖补。</w:t>
      </w:r>
    </w:p>
    <w:p w14:paraId="3A38E5D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楷体_GB2312" w:hAnsi="楷体_GB2312" w:eastAsia="楷体_GB2312" w:cs="楷体_GB2312"/>
          <w:b/>
          <w:bCs/>
          <w:sz w:val="32"/>
          <w:szCs w:val="32"/>
          <w:lang w:val="en-US" w:eastAsia="zh-CN"/>
        </w:rPr>
        <w:t>（二）林果业。</w:t>
      </w:r>
      <w:r>
        <w:rPr>
          <w:rFonts w:hint="eastAsia" w:ascii="方正仿宋_GB2312" w:hAnsi="方正仿宋_GB2312" w:eastAsia="方正仿宋_GB2312" w:cs="方正仿宋_GB2312"/>
          <w:b w:val="0"/>
          <w:bCs w:val="0"/>
          <w:sz w:val="32"/>
          <w:szCs w:val="32"/>
          <w:lang w:val="en-US" w:eastAsia="zh-CN"/>
        </w:rPr>
        <w:t xml:space="preserve">对大田种植面积在1亩以上的，采取技术措施，促进林果业提质增效的关键环节适当奖补。      </w:t>
      </w:r>
      <w:r>
        <w:rPr>
          <w:rFonts w:hint="eastAsia" w:ascii="方正仿宋_GB2312" w:hAnsi="方正仿宋_GB2312" w:eastAsia="方正仿宋_GB2312" w:cs="方正仿宋_GB2312"/>
          <w:b/>
          <w:bCs/>
          <w:sz w:val="32"/>
          <w:szCs w:val="32"/>
          <w:lang w:val="en-US" w:eastAsia="zh-CN"/>
        </w:rPr>
        <w:t>牵头单位：林草局   责任单位：各乡镇</w:t>
      </w:r>
    </w:p>
    <w:p w14:paraId="4DC9979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    1.品种优化。</w:t>
      </w:r>
      <w:r>
        <w:rPr>
          <w:rFonts w:hint="eastAsia" w:ascii="方正仿宋_GB2312" w:hAnsi="方正仿宋_GB2312" w:eastAsia="方正仿宋_GB2312" w:cs="方正仿宋_GB2312"/>
          <w:b w:val="0"/>
          <w:bCs w:val="0"/>
          <w:sz w:val="32"/>
          <w:szCs w:val="32"/>
          <w:lang w:val="en-US" w:eastAsia="zh-CN"/>
        </w:rPr>
        <w:t>采取高接换头、补齐缺株等措施进行品种统一和更新改良，对苹果、梨、杏、鲜食葡萄、鲜食枣、新梅、杏李、樱桃、桃、核桃等进行新品种推广，按照每亩300元的标准奖补．</w:t>
      </w:r>
    </w:p>
    <w:p w14:paraId="0E8F9D9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2.疏密改造。</w:t>
      </w:r>
      <w:r>
        <w:rPr>
          <w:rFonts w:hint="eastAsia" w:ascii="方正仿宋_GB2312" w:hAnsi="方正仿宋_GB2312" w:eastAsia="方正仿宋_GB2312" w:cs="方正仿宋_GB2312"/>
          <w:b w:val="0"/>
          <w:bCs w:val="0"/>
          <w:sz w:val="32"/>
          <w:szCs w:val="32"/>
          <w:lang w:val="en-US" w:eastAsia="zh-CN"/>
        </w:rPr>
        <w:t>对苹果、杏、新梅、葡萄疏行、疏株等方式疏密改造，按照每亩400元的标准奖补。</w:t>
      </w:r>
    </w:p>
    <w:p w14:paraId="14E090F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3.整形修剪。</w:t>
      </w:r>
      <w:r>
        <w:rPr>
          <w:rFonts w:hint="eastAsia" w:ascii="方正仿宋_GB2312" w:hAnsi="方正仿宋_GB2312" w:eastAsia="方正仿宋_GB2312" w:cs="方正仿宋_GB2312"/>
          <w:b w:val="0"/>
          <w:bCs w:val="0"/>
          <w:sz w:val="32"/>
          <w:szCs w:val="32"/>
          <w:lang w:val="en-US" w:eastAsia="zh-CN"/>
        </w:rPr>
        <w:t>通过林果技术服务合作社等专业技术团队开展果树修剪，按照梨、葡萄每亩150元，红枣、苹果每亩110元，核桃、新梅、桃、杏李、樱桃每亩100元，杏、桑树等其他树种每亩80元的标准奖补。</w:t>
      </w:r>
    </w:p>
    <w:p w14:paraId="7F9D949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4.病虫害防治。</w:t>
      </w:r>
      <w:r>
        <w:rPr>
          <w:rFonts w:hint="eastAsia" w:ascii="方正仿宋_GB2312" w:hAnsi="方正仿宋_GB2312" w:eastAsia="方正仿宋_GB2312" w:cs="方正仿宋_GB2312"/>
          <w:b w:val="0"/>
          <w:bCs w:val="0"/>
          <w:sz w:val="32"/>
          <w:szCs w:val="32"/>
          <w:lang w:val="en-US" w:eastAsia="zh-CN"/>
        </w:rPr>
        <w:t>通过林果技术服务合作社等专业技术团队开展果树病虫害防治，按照梨每亩160元，苹果、葡萄每亩140元，新梅每亩120元，红枣、桃、杏李、樱桃每亩100元，核桃、杏、桑树等其他树种每亩80元的标准奖补。</w:t>
      </w:r>
    </w:p>
    <w:p w14:paraId="0A4955A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eastAsia" w:ascii="楷体_GB2312" w:hAnsi="楷体_GB2312" w:eastAsia="楷体_GB2312" w:cs="楷体_GB2312"/>
          <w:b/>
          <w:bCs/>
          <w:sz w:val="32"/>
          <w:szCs w:val="32"/>
          <w:lang w:val="en-US" w:eastAsia="zh-CN"/>
        </w:rPr>
        <w:t>（三）畜牧业。</w:t>
      </w:r>
      <w:r>
        <w:rPr>
          <w:rFonts w:hint="default" w:ascii="方正仿宋_GB2312" w:hAnsi="方正仿宋_GB2312" w:eastAsia="方正仿宋_GB2312" w:cs="方正仿宋_GB2312"/>
          <w:b w:val="0"/>
          <w:bCs w:val="0"/>
          <w:sz w:val="32"/>
          <w:szCs w:val="32"/>
          <w:lang w:val="en-US" w:eastAsia="zh-CN"/>
        </w:rPr>
        <w:t>实施病种免疫、佩戴耳标、完成无纸化防疫系统录入，符合检疫合格标准的，对养殖关键环节给予适当奖补。</w:t>
      </w:r>
    </w:p>
    <w:p w14:paraId="7A3535B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牵头单位：农业农村局     责任单位：各乡镇</w:t>
      </w:r>
    </w:p>
    <w:p w14:paraId="769C5A4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rPr>
        <w:t>1.</w:t>
      </w:r>
      <w:bookmarkStart w:id="6" w:name="OLE_LINK29"/>
      <w:bookmarkStart w:id="7" w:name="OLE_LINK30"/>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扩大</w:t>
      </w:r>
      <w:r>
        <w:rPr>
          <w:rFonts w:hint="default" w:ascii="Times New Roman" w:hAnsi="Times New Roman" w:eastAsia="仿宋_GB2312" w:cs="Times New Roman"/>
          <w:b/>
          <w:bCs/>
          <w:strike w:val="0"/>
          <w:dstrike w:val="0"/>
          <w:color w:val="auto"/>
          <w:spacing w:val="0"/>
          <w:sz w:val="32"/>
          <w:szCs w:val="32"/>
          <w:highlight w:val="none"/>
          <w:u w:val="none" w:color="auto"/>
        </w:rPr>
        <w:t>良种能繁母畜养殖</w:t>
      </w: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规模</w:t>
      </w:r>
      <w:bookmarkEnd w:id="6"/>
      <w:r>
        <w:rPr>
          <w:rFonts w:hint="default" w:ascii="Times New Roman" w:hAnsi="Times New Roman" w:eastAsia="仿宋_GB2312" w:cs="Times New Roman"/>
          <w:b/>
          <w:bCs/>
          <w:strike w:val="0"/>
          <w:dstrike w:val="0"/>
          <w:color w:val="auto"/>
          <w:spacing w:val="0"/>
          <w:sz w:val="32"/>
          <w:szCs w:val="32"/>
          <w:highlight w:val="none"/>
          <w:u w:val="none" w:color="auto"/>
        </w:rPr>
        <w:t>。</w:t>
      </w:r>
      <w:r>
        <w:rPr>
          <w:rFonts w:hint="default" w:ascii="方正仿宋_GB2312" w:hAnsi="方正仿宋_GB2312" w:eastAsia="方正仿宋_GB2312" w:cs="方正仿宋_GB2312"/>
          <w:b w:val="0"/>
          <w:bCs w:val="0"/>
          <w:sz w:val="32"/>
          <w:szCs w:val="32"/>
          <w:lang w:val="en-US" w:eastAsia="zh-CN"/>
        </w:rPr>
        <w:t>当年引进符合当地主导品种的良种能繁母牛（月龄15个月以上或体重300公斤以上</w:t>
      </w:r>
      <w:r>
        <w:rPr>
          <w:rFonts w:hint="eastAsia" w:ascii="方正仿宋_GB2312" w:hAnsi="方正仿宋_GB2312" w:eastAsia="方正仿宋_GB2312" w:cs="方正仿宋_GB2312"/>
          <w:b w:val="0"/>
          <w:bCs w:val="0"/>
          <w:sz w:val="32"/>
          <w:szCs w:val="32"/>
          <w:lang w:val="en-US" w:eastAsia="zh-CN"/>
        </w:rPr>
        <w:t>，如：引进良畜牛：褐牛、西门塔尔等</w:t>
      </w:r>
      <w:r>
        <w:rPr>
          <w:rFonts w:hint="default" w:ascii="方正仿宋_GB2312" w:hAnsi="方正仿宋_GB2312" w:eastAsia="方正仿宋_GB2312" w:cs="方正仿宋_GB2312"/>
          <w:b w:val="0"/>
          <w:bCs w:val="0"/>
          <w:sz w:val="32"/>
          <w:szCs w:val="32"/>
          <w:lang w:val="en-US" w:eastAsia="zh-CN"/>
        </w:rPr>
        <w:t>）、母羊（月龄8个月以上或体重35公斤以上</w:t>
      </w:r>
      <w:r>
        <w:rPr>
          <w:rFonts w:hint="eastAsia" w:ascii="方正仿宋_GB2312" w:hAnsi="方正仿宋_GB2312" w:eastAsia="方正仿宋_GB2312" w:cs="方正仿宋_GB2312"/>
          <w:b w:val="0"/>
          <w:bCs w:val="0"/>
          <w:sz w:val="32"/>
          <w:szCs w:val="32"/>
          <w:lang w:val="en-US" w:eastAsia="zh-CN"/>
        </w:rPr>
        <w:t>，如：哈萨克羊、萨福克羊、皮山红羊等</w:t>
      </w:r>
      <w:r>
        <w:rPr>
          <w:rFonts w:hint="default" w:ascii="方正仿宋_GB2312" w:hAnsi="方正仿宋_GB2312" w:eastAsia="方正仿宋_GB2312" w:cs="方正仿宋_GB2312"/>
          <w:b w:val="0"/>
          <w:bCs w:val="0"/>
          <w:sz w:val="32"/>
          <w:szCs w:val="32"/>
          <w:lang w:val="en-US" w:eastAsia="zh-CN"/>
        </w:rPr>
        <w:t>）且饲养3个月以上的，</w:t>
      </w:r>
      <w:bookmarkEnd w:id="7"/>
      <w:r>
        <w:rPr>
          <w:rFonts w:hint="default" w:ascii="方正仿宋_GB2312" w:hAnsi="方正仿宋_GB2312" w:eastAsia="方正仿宋_GB2312" w:cs="方正仿宋_GB2312"/>
          <w:b w:val="0"/>
          <w:bCs w:val="0"/>
          <w:sz w:val="32"/>
          <w:szCs w:val="32"/>
          <w:lang w:val="en-US" w:eastAsia="zh-CN"/>
        </w:rPr>
        <w:t>按照每头母牛3000元、每只母羊400元的标准奖补；</w:t>
      </w:r>
      <w:bookmarkStart w:id="8" w:name="OLE_LINK31"/>
      <w:r>
        <w:rPr>
          <w:rFonts w:hint="default" w:ascii="方正仿宋_GB2312" w:hAnsi="方正仿宋_GB2312" w:eastAsia="方正仿宋_GB2312" w:cs="方正仿宋_GB2312"/>
          <w:b w:val="0"/>
          <w:bCs w:val="0"/>
          <w:sz w:val="32"/>
          <w:szCs w:val="32"/>
          <w:lang w:val="en-US" w:eastAsia="zh-CN"/>
        </w:rPr>
        <w:t>当年自繁扩增符合当地主导品种的良种母畜，</w:t>
      </w:r>
      <w:bookmarkEnd w:id="8"/>
      <w:r>
        <w:rPr>
          <w:rFonts w:hint="default" w:ascii="方正仿宋_GB2312" w:hAnsi="方正仿宋_GB2312" w:eastAsia="方正仿宋_GB2312" w:cs="方正仿宋_GB2312"/>
          <w:b w:val="0"/>
          <w:bCs w:val="0"/>
          <w:sz w:val="32"/>
          <w:szCs w:val="32"/>
          <w:lang w:val="en-US" w:eastAsia="zh-CN"/>
        </w:rPr>
        <w:t>母畜产羔后与母犊共同饲养3个月以上的，按照每头母牛犊2000元、每峰母驼</w:t>
      </w:r>
      <w:bookmarkStart w:id="9" w:name="OLE_LINK5"/>
      <w:r>
        <w:rPr>
          <w:rFonts w:hint="default" w:ascii="方正仿宋_GB2312" w:hAnsi="方正仿宋_GB2312" w:eastAsia="方正仿宋_GB2312" w:cs="方正仿宋_GB2312"/>
          <w:b w:val="0"/>
          <w:bCs w:val="0"/>
          <w:sz w:val="32"/>
          <w:szCs w:val="32"/>
          <w:lang w:val="en-US" w:eastAsia="zh-CN"/>
        </w:rPr>
        <w:t>羔1500元</w:t>
      </w:r>
      <w:bookmarkEnd w:id="9"/>
      <w:r>
        <w:rPr>
          <w:rFonts w:hint="default" w:ascii="方正仿宋_GB2312" w:hAnsi="方正仿宋_GB2312" w:eastAsia="方正仿宋_GB2312" w:cs="方正仿宋_GB2312"/>
          <w:b w:val="0"/>
          <w:bCs w:val="0"/>
          <w:sz w:val="32"/>
          <w:szCs w:val="32"/>
          <w:lang w:val="en-US" w:eastAsia="zh-CN"/>
        </w:rPr>
        <w:t>、每只母羊羔300元</w:t>
      </w:r>
      <w:bookmarkStart w:id="10" w:name="OLE_LINK12"/>
      <w:r>
        <w:rPr>
          <w:rFonts w:hint="default" w:ascii="方正仿宋_GB2312" w:hAnsi="方正仿宋_GB2312" w:eastAsia="方正仿宋_GB2312" w:cs="方正仿宋_GB2312"/>
          <w:b w:val="0"/>
          <w:bCs w:val="0"/>
          <w:sz w:val="32"/>
          <w:szCs w:val="32"/>
          <w:lang w:val="en-US" w:eastAsia="zh-CN"/>
        </w:rPr>
        <w:t>的标准奖补。</w:t>
      </w:r>
      <w:bookmarkEnd w:id="10"/>
      <w:r>
        <w:rPr>
          <w:rFonts w:hint="eastAsia" w:ascii="方正仿宋_GB2312" w:hAnsi="方正仿宋_GB2312" w:eastAsia="方正仿宋_GB2312" w:cs="方正仿宋_GB2312"/>
          <w:b w:val="0"/>
          <w:bCs w:val="0"/>
          <w:sz w:val="32"/>
          <w:szCs w:val="32"/>
          <w:lang w:val="en-US" w:eastAsia="zh-CN"/>
        </w:rPr>
        <w:t>各乡镇</w:t>
      </w:r>
      <w:r>
        <w:rPr>
          <w:rFonts w:hint="default" w:ascii="方正仿宋_GB2312" w:hAnsi="方正仿宋_GB2312" w:eastAsia="方正仿宋_GB2312" w:cs="方正仿宋_GB2312"/>
          <w:b w:val="0"/>
          <w:bCs w:val="0"/>
          <w:sz w:val="32"/>
          <w:szCs w:val="32"/>
          <w:lang w:val="en-US" w:eastAsia="zh-CN"/>
        </w:rPr>
        <w:t>，以2026年农户家庭养殖规模为基数，支持增加存栏、适时出栏，逐年扩大养殖规模，杜绝“转圈牛羊”，防止“年年奖补不见畜”。</w:t>
      </w:r>
    </w:p>
    <w:p w14:paraId="24F0F6D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rPr>
        <w:t>2.</w:t>
      </w:r>
      <w:bookmarkStart w:id="11" w:name="OLE_LINK32"/>
      <w:r>
        <w:rPr>
          <w:rFonts w:hint="default" w:ascii="Times New Roman" w:hAnsi="Times New Roman" w:eastAsia="仿宋_GB2312" w:cs="Times New Roman"/>
          <w:b/>
          <w:bCs/>
          <w:strike w:val="0"/>
          <w:dstrike w:val="0"/>
          <w:color w:val="auto"/>
          <w:spacing w:val="0"/>
          <w:sz w:val="32"/>
          <w:szCs w:val="32"/>
          <w:highlight w:val="none"/>
          <w:u w:val="none" w:color="auto"/>
          <w:lang w:eastAsia="zh-CN"/>
        </w:rPr>
        <w:t>调羔育肥</w:t>
      </w: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增加肉羊产量</w:t>
      </w:r>
      <w:bookmarkEnd w:id="11"/>
      <w:r>
        <w:rPr>
          <w:rFonts w:hint="default" w:ascii="Times New Roman" w:hAnsi="Times New Roman" w:eastAsia="仿宋_GB2312" w:cs="Times New Roman"/>
          <w:b/>
          <w:bCs/>
          <w:strike w:val="0"/>
          <w:dstrike w:val="0"/>
          <w:color w:val="auto"/>
          <w:spacing w:val="0"/>
          <w:sz w:val="32"/>
          <w:szCs w:val="32"/>
          <w:highlight w:val="none"/>
          <w:u w:val="none" w:color="auto"/>
          <w:lang w:eastAsia="zh-CN"/>
        </w:rPr>
        <w:t>。</w:t>
      </w:r>
      <w:r>
        <w:rPr>
          <w:rFonts w:hint="default" w:ascii="方正仿宋_GB2312" w:hAnsi="方正仿宋_GB2312" w:eastAsia="方正仿宋_GB2312" w:cs="方正仿宋_GB2312"/>
          <w:b w:val="0"/>
          <w:bCs w:val="0"/>
          <w:sz w:val="32"/>
          <w:szCs w:val="32"/>
          <w:lang w:val="en-US" w:eastAsia="zh-CN"/>
        </w:rPr>
        <w:t>育肥饲养3个月以上，对从疆外购买断奶羔羊开展育肥的，按照每出栏1只育肥羊60元的标准奖补；对从疆内购买断奶羔羊开展育肥的，按照每出栏1只育肥羊30元的标准奖补。</w:t>
      </w:r>
    </w:p>
    <w:p w14:paraId="6D90A27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3.</w:t>
      </w:r>
      <w:bookmarkStart w:id="12" w:name="OLE_LINK34"/>
      <w:bookmarkStart w:id="13" w:name="OLE_LINK33"/>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牲畜</w:t>
      </w:r>
      <w:bookmarkEnd w:id="12"/>
      <w:r>
        <w:rPr>
          <w:rFonts w:hint="default" w:ascii="Times New Roman" w:hAnsi="Times New Roman" w:eastAsia="仿宋_GB2312" w:cs="Times New Roman"/>
          <w:b/>
          <w:bCs/>
          <w:strike w:val="0"/>
          <w:dstrike w:val="0"/>
          <w:color w:val="auto"/>
          <w:spacing w:val="0"/>
          <w:sz w:val="32"/>
          <w:szCs w:val="32"/>
          <w:highlight w:val="none"/>
          <w:u w:val="none" w:color="auto"/>
        </w:rPr>
        <w:t>品种改良</w:t>
      </w:r>
      <w:bookmarkEnd w:id="13"/>
      <w:r>
        <w:rPr>
          <w:rFonts w:hint="default" w:ascii="Times New Roman" w:hAnsi="Times New Roman" w:eastAsia="仿宋_GB2312" w:cs="Times New Roman"/>
          <w:b/>
          <w:bCs/>
          <w:strike w:val="0"/>
          <w:dstrike w:val="0"/>
          <w:color w:val="auto"/>
          <w:spacing w:val="0"/>
          <w:sz w:val="32"/>
          <w:szCs w:val="32"/>
          <w:highlight w:val="none"/>
          <w:u w:val="none" w:color="auto"/>
          <w:lang w:eastAsia="zh-CN"/>
        </w:rPr>
        <w:t>。</w:t>
      </w:r>
      <w:bookmarkStart w:id="14" w:name="OLE_LINK35"/>
      <w:r>
        <w:rPr>
          <w:rFonts w:hint="default" w:ascii="方正仿宋_GB2312" w:hAnsi="方正仿宋_GB2312" w:eastAsia="方正仿宋_GB2312" w:cs="方正仿宋_GB2312"/>
          <w:b w:val="0"/>
          <w:bCs w:val="0"/>
          <w:sz w:val="32"/>
          <w:szCs w:val="32"/>
          <w:lang w:val="en-US" w:eastAsia="zh-CN"/>
        </w:rPr>
        <w:t>马采用人工授精配种并定胎</w:t>
      </w:r>
      <w:bookmarkEnd w:id="14"/>
      <w:r>
        <w:rPr>
          <w:rFonts w:hint="default" w:ascii="方正仿宋_GB2312" w:hAnsi="方正仿宋_GB2312" w:eastAsia="方正仿宋_GB2312" w:cs="方正仿宋_GB2312"/>
          <w:b w:val="0"/>
          <w:bCs w:val="0"/>
          <w:sz w:val="32"/>
          <w:szCs w:val="32"/>
          <w:lang w:val="en-US" w:eastAsia="zh-CN"/>
        </w:rPr>
        <w:t>的，对配种技术服务和精液（冻精、鲜精）环节，按照每匹母马1200元的标准奖补。</w:t>
      </w:r>
    </w:p>
    <w:p w14:paraId="55CB0DD9">
      <w:pPr>
        <w:keepNext w:val="0"/>
        <w:keepLines w:val="0"/>
        <w:pageBreakBefore w:val="0"/>
        <w:widowControl w:val="0"/>
        <w:kinsoku/>
        <w:wordWrap/>
        <w:overflowPunct/>
        <w:topLinePunct w:val="0"/>
        <w:autoSpaceDE/>
        <w:autoSpaceDN/>
        <w:bidi w:val="0"/>
        <w:adjustRightInd/>
        <w:snapToGrid/>
        <w:spacing w:line="560" w:lineRule="exact"/>
        <w:ind w:left="0" w:leftChars="0" w:firstLine="622"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1"/>
          <w:szCs w:val="31"/>
          <w:highlight w:val="none"/>
          <w:u w:val="none" w:color="auto"/>
          <w:lang w:val="en-US" w:eastAsia="zh-CN"/>
        </w:rPr>
        <w:t>4.</w:t>
      </w:r>
      <w:r>
        <w:rPr>
          <w:rFonts w:hint="default" w:ascii="Times New Roman" w:hAnsi="Times New Roman" w:eastAsia="仿宋_GB2312" w:cs="Times New Roman"/>
          <w:b/>
          <w:bCs/>
          <w:strike w:val="0"/>
          <w:dstrike w:val="0"/>
          <w:color w:val="auto"/>
          <w:spacing w:val="0"/>
          <w:sz w:val="32"/>
          <w:szCs w:val="32"/>
          <w:highlight w:val="none"/>
          <w:u w:val="none" w:color="auto"/>
        </w:rPr>
        <w:t>常见多发病防治</w:t>
      </w:r>
      <w:r>
        <w:rPr>
          <w:rFonts w:hint="default" w:ascii="Times New Roman" w:hAnsi="Times New Roman" w:eastAsia="仿宋_GB2312" w:cs="Times New Roman"/>
          <w:b/>
          <w:bCs/>
          <w:strike w:val="0"/>
          <w:dstrike w:val="0"/>
          <w:color w:val="auto"/>
          <w:spacing w:val="0"/>
          <w:sz w:val="32"/>
          <w:szCs w:val="32"/>
          <w:highlight w:val="none"/>
          <w:u w:val="none" w:color="auto"/>
          <w:lang w:eastAsia="zh-CN"/>
        </w:rPr>
        <w:t>。</w:t>
      </w:r>
      <w:r>
        <w:rPr>
          <w:rFonts w:hint="default" w:ascii="方正仿宋_GB2312" w:hAnsi="方正仿宋_GB2312" w:eastAsia="方正仿宋_GB2312" w:cs="方正仿宋_GB2312"/>
          <w:b w:val="0"/>
          <w:bCs w:val="0"/>
          <w:sz w:val="32"/>
          <w:szCs w:val="32"/>
          <w:lang w:val="en-US" w:eastAsia="zh-CN"/>
        </w:rPr>
        <w:t>对</w:t>
      </w:r>
      <w:bookmarkStart w:id="15" w:name="OLE_LINK36"/>
      <w:r>
        <w:rPr>
          <w:rFonts w:hint="default" w:ascii="方正仿宋_GB2312" w:hAnsi="方正仿宋_GB2312" w:eastAsia="方正仿宋_GB2312" w:cs="方正仿宋_GB2312"/>
          <w:b w:val="0"/>
          <w:bCs w:val="0"/>
          <w:sz w:val="32"/>
          <w:szCs w:val="32"/>
          <w:lang w:val="en-US" w:eastAsia="zh-CN"/>
        </w:rPr>
        <w:t>通过畜牧兽医社会化服务机构，有组织的开展农户家庭畜禽常规病种免疫、诊疗、药浴、驱虫、环境消杀</w:t>
      </w:r>
      <w:bookmarkEnd w:id="15"/>
      <w:r>
        <w:rPr>
          <w:rFonts w:hint="default" w:ascii="方正仿宋_GB2312" w:hAnsi="方正仿宋_GB2312" w:eastAsia="方正仿宋_GB2312" w:cs="方正仿宋_GB2312"/>
          <w:b w:val="0"/>
          <w:bCs w:val="0"/>
          <w:sz w:val="32"/>
          <w:szCs w:val="32"/>
          <w:lang w:val="en-US" w:eastAsia="zh-CN"/>
        </w:rPr>
        <w:t>的</w:t>
      </w:r>
      <w:bookmarkStart w:id="16" w:name="OLE_LINK37"/>
      <w:r>
        <w:rPr>
          <w:rFonts w:hint="default" w:ascii="方正仿宋_GB2312" w:hAnsi="方正仿宋_GB2312" w:eastAsia="方正仿宋_GB2312" w:cs="方正仿宋_GB2312"/>
          <w:b w:val="0"/>
          <w:bCs w:val="0"/>
          <w:sz w:val="32"/>
          <w:szCs w:val="32"/>
          <w:lang w:val="en-US" w:eastAsia="zh-CN"/>
        </w:rPr>
        <w:t>，提升防控效率效果</w:t>
      </w:r>
      <w:bookmarkEnd w:id="16"/>
      <w:r>
        <w:rPr>
          <w:rFonts w:hint="default" w:ascii="方正仿宋_GB2312" w:hAnsi="方正仿宋_GB2312" w:eastAsia="方正仿宋_GB2312" w:cs="方正仿宋_GB2312"/>
          <w:b w:val="0"/>
          <w:bCs w:val="0"/>
          <w:sz w:val="32"/>
          <w:szCs w:val="32"/>
          <w:lang w:val="en-US" w:eastAsia="zh-CN"/>
        </w:rPr>
        <w:t>，当年内按照每户不超过200元的标准奖补。</w:t>
      </w:r>
    </w:p>
    <w:p w14:paraId="7970740C">
      <w:pPr>
        <w:keepNext w:val="0"/>
        <w:keepLines w:val="0"/>
        <w:pageBreakBefore w:val="0"/>
        <w:widowControl w:val="0"/>
        <w:kinsoku/>
        <w:wordWrap/>
        <w:overflowPunct/>
        <w:topLinePunct w:val="0"/>
        <w:autoSpaceDE/>
        <w:autoSpaceDN/>
        <w:bidi w:val="0"/>
        <w:adjustRightInd/>
        <w:snapToGrid/>
        <w:spacing w:line="560" w:lineRule="exact"/>
        <w:ind w:left="0" w:leftChars="0" w:firstLine="622" w:firstLineChars="200"/>
        <w:textAlignment w:val="auto"/>
        <w:outlineLvl w:val="9"/>
        <w:rPr>
          <w:rFonts w:hint="eastAsia"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1"/>
          <w:szCs w:val="31"/>
          <w:highlight w:val="none"/>
          <w:u w:val="none" w:color="auto"/>
          <w:lang w:val="en-US" w:eastAsia="zh-CN"/>
        </w:rPr>
        <w:t>5</w:t>
      </w:r>
      <w:r>
        <w:rPr>
          <w:rFonts w:hint="default" w:ascii="Times New Roman" w:hAnsi="Times New Roman" w:eastAsia="仿宋_GB2312" w:cs="Times New Roman"/>
          <w:b/>
          <w:bCs/>
          <w:strike w:val="0"/>
          <w:dstrike w:val="0"/>
          <w:color w:val="auto"/>
          <w:spacing w:val="0"/>
          <w:sz w:val="31"/>
          <w:szCs w:val="31"/>
          <w:highlight w:val="none"/>
          <w:u w:val="none" w:color="auto"/>
        </w:rPr>
        <w:t>.青贮窖建设</w:t>
      </w:r>
      <w:r>
        <w:rPr>
          <w:rFonts w:hint="default" w:ascii="Times New Roman" w:hAnsi="Times New Roman" w:eastAsia="仿宋_GB2312" w:cs="Times New Roman"/>
          <w:b/>
          <w:bCs/>
          <w:strike w:val="0"/>
          <w:dstrike w:val="0"/>
          <w:color w:val="auto"/>
          <w:spacing w:val="0"/>
          <w:sz w:val="31"/>
          <w:szCs w:val="31"/>
          <w:highlight w:val="none"/>
          <w:u w:val="none" w:color="auto"/>
          <w:lang w:val="en-US" w:eastAsia="zh-CN"/>
        </w:rPr>
        <w:t>改造</w:t>
      </w:r>
      <w:r>
        <w:rPr>
          <w:rFonts w:hint="default" w:ascii="Times New Roman" w:hAnsi="Times New Roman" w:eastAsia="仿宋_GB2312" w:cs="Times New Roman"/>
          <w:b/>
          <w:bCs/>
          <w:strike w:val="0"/>
          <w:dstrike w:val="0"/>
          <w:color w:val="auto"/>
          <w:spacing w:val="0"/>
          <w:sz w:val="31"/>
          <w:szCs w:val="31"/>
          <w:highlight w:val="none"/>
          <w:u w:val="none" w:color="auto"/>
          <w:lang w:eastAsia="zh-CN"/>
        </w:rPr>
        <w:t>。</w:t>
      </w:r>
      <w:r>
        <w:rPr>
          <w:rFonts w:hint="default" w:ascii="方正仿宋_GB2312" w:hAnsi="方正仿宋_GB2312" w:eastAsia="方正仿宋_GB2312" w:cs="方正仿宋_GB2312"/>
          <w:b w:val="0"/>
          <w:bCs w:val="0"/>
          <w:sz w:val="32"/>
          <w:szCs w:val="32"/>
          <w:lang w:val="en-US" w:eastAsia="zh-CN"/>
        </w:rPr>
        <w:t>发展牛羊等养殖并经营稳定，对新建砖混结构、容积达到</w:t>
      </w:r>
      <w:bookmarkStart w:id="17" w:name="OLE_LINK39"/>
      <w:r>
        <w:rPr>
          <w:rFonts w:hint="default" w:ascii="方正仿宋_GB2312" w:hAnsi="方正仿宋_GB2312" w:eastAsia="方正仿宋_GB2312" w:cs="方正仿宋_GB2312"/>
          <w:b w:val="0"/>
          <w:bCs w:val="0"/>
          <w:sz w:val="32"/>
          <w:szCs w:val="32"/>
          <w:lang w:val="en-US" w:eastAsia="zh-CN"/>
        </w:rPr>
        <w:t>20立方米（含）及以上</w:t>
      </w:r>
      <w:bookmarkEnd w:id="17"/>
      <w:r>
        <w:rPr>
          <w:rFonts w:hint="default" w:ascii="方正仿宋_GB2312" w:hAnsi="方正仿宋_GB2312" w:eastAsia="方正仿宋_GB2312" w:cs="方正仿宋_GB2312"/>
          <w:b w:val="0"/>
          <w:bCs w:val="0"/>
          <w:sz w:val="32"/>
          <w:szCs w:val="32"/>
          <w:lang w:val="en-US" w:eastAsia="zh-CN"/>
        </w:rPr>
        <w:t>的</w:t>
      </w:r>
      <w:bookmarkStart w:id="18" w:name="OLE_LINK38"/>
      <w:r>
        <w:rPr>
          <w:rFonts w:hint="default" w:ascii="方正仿宋_GB2312" w:hAnsi="方正仿宋_GB2312" w:eastAsia="方正仿宋_GB2312" w:cs="方正仿宋_GB2312"/>
          <w:b w:val="0"/>
          <w:bCs w:val="0"/>
          <w:sz w:val="32"/>
          <w:szCs w:val="32"/>
          <w:lang w:val="en-US" w:eastAsia="zh-CN"/>
        </w:rPr>
        <w:t>青贮窖</w:t>
      </w:r>
      <w:bookmarkEnd w:id="18"/>
      <w:r>
        <w:rPr>
          <w:rFonts w:hint="default" w:ascii="方正仿宋_GB2312" w:hAnsi="方正仿宋_GB2312" w:eastAsia="方正仿宋_GB2312" w:cs="方正仿宋_GB2312"/>
          <w:b w:val="0"/>
          <w:bCs w:val="0"/>
          <w:sz w:val="32"/>
          <w:szCs w:val="32"/>
          <w:lang w:val="en-US" w:eastAsia="zh-CN"/>
        </w:rPr>
        <w:t>，按</w:t>
      </w:r>
      <w:r>
        <w:rPr>
          <w:rFonts w:hint="eastAsia" w:ascii="方正仿宋_GB2312" w:hAnsi="方正仿宋_GB2312" w:eastAsia="方正仿宋_GB2312" w:cs="方正仿宋_GB2312"/>
          <w:b w:val="0"/>
          <w:bCs w:val="0"/>
          <w:sz w:val="32"/>
          <w:szCs w:val="32"/>
          <w:lang w:val="en-US" w:eastAsia="zh-CN"/>
        </w:rPr>
        <w:t>照1000元的标准奖补；对</w:t>
      </w:r>
      <w:bookmarkStart w:id="19" w:name="OLE_LINK40"/>
      <w:r>
        <w:rPr>
          <w:rFonts w:hint="eastAsia" w:ascii="方正仿宋_GB2312" w:hAnsi="方正仿宋_GB2312" w:eastAsia="方正仿宋_GB2312" w:cs="方正仿宋_GB2312"/>
          <w:b w:val="0"/>
          <w:bCs w:val="0"/>
          <w:sz w:val="32"/>
          <w:szCs w:val="32"/>
          <w:lang w:val="en-US" w:eastAsia="zh-CN"/>
        </w:rPr>
        <w:t>改造青贮窖</w:t>
      </w:r>
      <w:bookmarkEnd w:id="19"/>
      <w:r>
        <w:rPr>
          <w:rFonts w:hint="eastAsia" w:ascii="方正仿宋_GB2312" w:hAnsi="方正仿宋_GB2312" w:eastAsia="方正仿宋_GB2312" w:cs="方正仿宋_GB2312"/>
          <w:b w:val="0"/>
          <w:bCs w:val="0"/>
          <w:sz w:val="32"/>
          <w:szCs w:val="32"/>
          <w:lang w:val="en-US" w:eastAsia="zh-CN"/>
        </w:rPr>
        <w:t>的，按照不超过500元的标准奖补。</w:t>
      </w:r>
    </w:p>
    <w:p w14:paraId="287DEC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eastAsia" w:ascii="楷体_GB2312" w:hAnsi="楷体_GB2312" w:eastAsia="楷体_GB2312" w:cs="楷体_GB2312"/>
          <w:b/>
          <w:bCs/>
          <w:sz w:val="32"/>
          <w:szCs w:val="32"/>
          <w:lang w:val="en-US" w:eastAsia="zh-CN"/>
        </w:rPr>
        <w:t>（四）乡村特色产业。</w:t>
      </w:r>
      <w:r>
        <w:rPr>
          <w:rFonts w:hint="default" w:ascii="方正仿宋_GB2312" w:hAnsi="方正仿宋_GB2312" w:eastAsia="方正仿宋_GB2312" w:cs="方正仿宋_GB2312"/>
          <w:b w:val="0"/>
          <w:bCs w:val="0"/>
          <w:sz w:val="32"/>
          <w:szCs w:val="32"/>
          <w:lang w:val="en-US" w:eastAsia="zh-CN"/>
        </w:rPr>
        <w:t>围绕将特色资源转化为产业发展优势，拓宽增收渠道，对发展特色种植养殖、盘活庭院、提升设施水平，实现规范化发展的，给予适当奖补。</w:t>
      </w:r>
    </w:p>
    <w:p w14:paraId="0E0B10C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牵头单位：农业农村局   责任单位：各乡镇        </w:t>
      </w:r>
    </w:p>
    <w:p w14:paraId="3D0C87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特色种植。</w:t>
      </w:r>
      <w:r>
        <w:rPr>
          <w:rFonts w:hint="default" w:ascii="方正仿宋_GB2312" w:hAnsi="方正仿宋_GB2312" w:eastAsia="方正仿宋_GB2312" w:cs="方正仿宋_GB2312"/>
          <w:b w:val="0"/>
          <w:bCs w:val="0"/>
          <w:sz w:val="32"/>
          <w:szCs w:val="32"/>
          <w:lang w:val="en-US" w:eastAsia="zh-CN"/>
        </w:rPr>
        <w:t>对蔬菜，油料（红花、油葵），西甜瓜，草莓，苜蓿，中药材等经济作物</w:t>
      </w:r>
      <w:r>
        <w:rPr>
          <w:rFonts w:hint="eastAsia" w:ascii="方正仿宋_GB2312" w:hAnsi="方正仿宋_GB2312" w:eastAsia="方正仿宋_GB2312" w:cs="方正仿宋_GB2312"/>
          <w:b w:val="0"/>
          <w:bCs w:val="0"/>
          <w:sz w:val="32"/>
          <w:szCs w:val="32"/>
          <w:lang w:val="en-US" w:eastAsia="zh-CN"/>
        </w:rPr>
        <w:t>（大田种植）</w:t>
      </w:r>
      <w:r>
        <w:rPr>
          <w:rFonts w:hint="default" w:ascii="方正仿宋_GB2312" w:hAnsi="方正仿宋_GB2312" w:eastAsia="方正仿宋_GB2312" w:cs="方正仿宋_GB2312"/>
          <w:b w:val="0"/>
          <w:bCs w:val="0"/>
          <w:sz w:val="32"/>
          <w:szCs w:val="32"/>
          <w:lang w:val="en-US" w:eastAsia="zh-CN"/>
        </w:rPr>
        <w:t>，采取耕整地、农资购置、关键技术应用、病虫害防治等生产综合措施，按照每亩不超过150元的标准奖补。</w:t>
      </w:r>
    </w:p>
    <w:p w14:paraId="1D758E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default"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2.特色</w:t>
      </w:r>
      <w:r>
        <w:rPr>
          <w:rFonts w:hint="default" w:ascii="Times New Roman" w:hAnsi="Times New Roman" w:eastAsia="仿宋_GB2312" w:cs="Times New Roman"/>
          <w:b/>
          <w:bCs/>
          <w:strike w:val="0"/>
          <w:dstrike w:val="0"/>
          <w:color w:val="auto"/>
          <w:spacing w:val="0"/>
          <w:sz w:val="32"/>
          <w:szCs w:val="32"/>
          <w:highlight w:val="none"/>
          <w:u w:val="none" w:color="auto"/>
        </w:rPr>
        <w:t>养殖。</w:t>
      </w:r>
      <w:r>
        <w:rPr>
          <w:rFonts w:hint="default" w:ascii="方正仿宋_GB2312" w:hAnsi="方正仿宋_GB2312" w:eastAsia="方正仿宋_GB2312" w:cs="方正仿宋_GB2312"/>
          <w:b w:val="0"/>
          <w:bCs w:val="0"/>
          <w:sz w:val="32"/>
          <w:szCs w:val="32"/>
          <w:lang w:val="en-US" w:eastAsia="zh-CN"/>
        </w:rPr>
        <w:t>对</w:t>
      </w:r>
      <w:bookmarkStart w:id="20" w:name="OLE_LINK47"/>
      <w:r>
        <w:rPr>
          <w:rFonts w:hint="default" w:ascii="方正仿宋_GB2312" w:hAnsi="方正仿宋_GB2312" w:eastAsia="方正仿宋_GB2312" w:cs="方正仿宋_GB2312"/>
          <w:b w:val="0"/>
          <w:bCs w:val="0"/>
          <w:sz w:val="32"/>
          <w:szCs w:val="32"/>
          <w:lang w:val="en-US" w:eastAsia="zh-CN"/>
        </w:rPr>
        <w:t>养殖</w:t>
      </w:r>
      <w:bookmarkStart w:id="21" w:name="OLE_LINK42"/>
      <w:r>
        <w:rPr>
          <w:rFonts w:hint="default" w:ascii="方正仿宋_GB2312" w:hAnsi="方正仿宋_GB2312" w:eastAsia="方正仿宋_GB2312" w:cs="方正仿宋_GB2312"/>
          <w:b w:val="0"/>
          <w:bCs w:val="0"/>
          <w:sz w:val="32"/>
          <w:szCs w:val="32"/>
          <w:lang w:val="en-US" w:eastAsia="zh-CN"/>
        </w:rPr>
        <w:t>鸡、鸭、鹅等禽类</w:t>
      </w:r>
      <w:bookmarkEnd w:id="21"/>
      <w:bookmarkStart w:id="22" w:name="OLE_LINK46"/>
      <w:r>
        <w:rPr>
          <w:rFonts w:hint="default" w:ascii="方正仿宋_GB2312" w:hAnsi="方正仿宋_GB2312" w:eastAsia="方正仿宋_GB2312" w:cs="方正仿宋_GB2312"/>
          <w:b w:val="0"/>
          <w:bCs w:val="0"/>
          <w:sz w:val="32"/>
          <w:szCs w:val="32"/>
          <w:lang w:val="en-US" w:eastAsia="zh-CN"/>
        </w:rPr>
        <w:t>50羽以上</w:t>
      </w:r>
      <w:bookmarkEnd w:id="22"/>
      <w:r>
        <w:rPr>
          <w:rFonts w:hint="default" w:ascii="方正仿宋_GB2312" w:hAnsi="方正仿宋_GB2312" w:eastAsia="方正仿宋_GB2312" w:cs="方正仿宋_GB2312"/>
          <w:b w:val="0"/>
          <w:bCs w:val="0"/>
          <w:sz w:val="32"/>
          <w:szCs w:val="32"/>
          <w:lang w:val="en-US" w:eastAsia="zh-CN"/>
        </w:rPr>
        <w:t>，饲养3个月以上</w:t>
      </w:r>
      <w:bookmarkEnd w:id="20"/>
      <w:r>
        <w:rPr>
          <w:rFonts w:hint="default" w:ascii="方正仿宋_GB2312" w:hAnsi="方正仿宋_GB2312" w:eastAsia="方正仿宋_GB2312" w:cs="方正仿宋_GB2312"/>
          <w:b w:val="0"/>
          <w:bCs w:val="0"/>
          <w:sz w:val="32"/>
          <w:szCs w:val="32"/>
          <w:lang w:val="en-US" w:eastAsia="zh-CN"/>
        </w:rPr>
        <w:t>的，按照每羽10元的标准奖补；</w:t>
      </w:r>
      <w:bookmarkStart w:id="23" w:name="OLE_LINK48"/>
      <w:r>
        <w:rPr>
          <w:rFonts w:hint="default" w:ascii="方正仿宋_GB2312" w:hAnsi="方正仿宋_GB2312" w:eastAsia="方正仿宋_GB2312" w:cs="方正仿宋_GB2312"/>
          <w:b w:val="0"/>
          <w:bCs w:val="0"/>
          <w:sz w:val="32"/>
          <w:szCs w:val="32"/>
          <w:lang w:val="en-US" w:eastAsia="zh-CN"/>
        </w:rPr>
        <w:t>养殖</w:t>
      </w:r>
      <w:bookmarkStart w:id="24" w:name="OLE_LINK43"/>
      <w:r>
        <w:rPr>
          <w:rFonts w:hint="default" w:ascii="方正仿宋_GB2312" w:hAnsi="方正仿宋_GB2312" w:eastAsia="方正仿宋_GB2312" w:cs="方正仿宋_GB2312"/>
          <w:b w:val="0"/>
          <w:bCs w:val="0"/>
          <w:sz w:val="32"/>
          <w:szCs w:val="32"/>
          <w:lang w:val="en-US" w:eastAsia="zh-CN"/>
        </w:rPr>
        <w:t>肉鸽</w:t>
      </w:r>
      <w:bookmarkEnd w:id="24"/>
      <w:r>
        <w:rPr>
          <w:rFonts w:hint="default" w:ascii="方正仿宋_GB2312" w:hAnsi="方正仿宋_GB2312" w:eastAsia="方正仿宋_GB2312" w:cs="方正仿宋_GB2312"/>
          <w:b w:val="0"/>
          <w:bCs w:val="0"/>
          <w:sz w:val="32"/>
          <w:szCs w:val="32"/>
          <w:lang w:val="en-US" w:eastAsia="zh-CN"/>
        </w:rPr>
        <w:t>50羽以上，饲养30天以上的</w:t>
      </w:r>
      <w:bookmarkEnd w:id="23"/>
      <w:r>
        <w:rPr>
          <w:rFonts w:hint="default" w:ascii="方正仿宋_GB2312" w:hAnsi="方正仿宋_GB2312" w:eastAsia="方正仿宋_GB2312" w:cs="方正仿宋_GB2312"/>
          <w:b w:val="0"/>
          <w:bCs w:val="0"/>
          <w:sz w:val="32"/>
          <w:szCs w:val="32"/>
          <w:lang w:val="en-US" w:eastAsia="zh-CN"/>
        </w:rPr>
        <w:t>，按照每羽3元的标准奖补；</w:t>
      </w:r>
      <w:bookmarkStart w:id="25" w:name="OLE_LINK49"/>
      <w:r>
        <w:rPr>
          <w:rFonts w:hint="default" w:ascii="方正仿宋_GB2312" w:hAnsi="方正仿宋_GB2312" w:eastAsia="方正仿宋_GB2312" w:cs="方正仿宋_GB2312"/>
          <w:b w:val="0"/>
          <w:bCs w:val="0"/>
          <w:sz w:val="32"/>
          <w:szCs w:val="32"/>
          <w:lang w:val="en-US" w:eastAsia="zh-CN"/>
        </w:rPr>
        <w:t>养殖</w:t>
      </w:r>
      <w:bookmarkStart w:id="26" w:name="OLE_LINK44"/>
      <w:r>
        <w:rPr>
          <w:rFonts w:hint="default" w:ascii="方正仿宋_GB2312" w:hAnsi="方正仿宋_GB2312" w:eastAsia="方正仿宋_GB2312" w:cs="方正仿宋_GB2312"/>
          <w:b w:val="0"/>
          <w:bCs w:val="0"/>
          <w:sz w:val="32"/>
          <w:szCs w:val="32"/>
          <w:lang w:val="en-US" w:eastAsia="zh-CN"/>
        </w:rPr>
        <w:t>肉兔</w:t>
      </w:r>
      <w:bookmarkEnd w:id="26"/>
      <w:r>
        <w:rPr>
          <w:rFonts w:hint="default" w:ascii="方正仿宋_GB2312" w:hAnsi="方正仿宋_GB2312" w:eastAsia="方正仿宋_GB2312" w:cs="方正仿宋_GB2312"/>
          <w:b w:val="0"/>
          <w:bCs w:val="0"/>
          <w:sz w:val="32"/>
          <w:szCs w:val="32"/>
          <w:lang w:val="en-US" w:eastAsia="zh-CN"/>
        </w:rPr>
        <w:t>50只以上，饲养3个月以上</w:t>
      </w:r>
      <w:bookmarkEnd w:id="25"/>
      <w:r>
        <w:rPr>
          <w:rFonts w:hint="default" w:ascii="方正仿宋_GB2312" w:hAnsi="方正仿宋_GB2312" w:eastAsia="方正仿宋_GB2312" w:cs="方正仿宋_GB2312"/>
          <w:b w:val="0"/>
          <w:bCs w:val="0"/>
          <w:sz w:val="32"/>
          <w:szCs w:val="32"/>
          <w:lang w:val="en-US" w:eastAsia="zh-CN"/>
        </w:rPr>
        <w:t>的，按照每只10元的标准奖补；</w:t>
      </w:r>
      <w:bookmarkStart w:id="27" w:name="OLE_LINK50"/>
      <w:r>
        <w:rPr>
          <w:rFonts w:hint="default" w:ascii="方正仿宋_GB2312" w:hAnsi="方正仿宋_GB2312" w:eastAsia="方正仿宋_GB2312" w:cs="方正仿宋_GB2312"/>
          <w:b w:val="0"/>
          <w:bCs w:val="0"/>
          <w:sz w:val="32"/>
          <w:szCs w:val="32"/>
          <w:lang w:val="en-US" w:eastAsia="zh-CN"/>
        </w:rPr>
        <w:t>养殖</w:t>
      </w:r>
      <w:bookmarkStart w:id="28" w:name="OLE_LINK45"/>
      <w:r>
        <w:rPr>
          <w:rFonts w:hint="default" w:ascii="方正仿宋_GB2312" w:hAnsi="方正仿宋_GB2312" w:eastAsia="方正仿宋_GB2312" w:cs="方正仿宋_GB2312"/>
          <w:b w:val="0"/>
          <w:bCs w:val="0"/>
          <w:sz w:val="32"/>
          <w:szCs w:val="32"/>
          <w:lang w:val="en-US" w:eastAsia="zh-CN"/>
        </w:rPr>
        <w:t>蜜蜂</w:t>
      </w:r>
      <w:bookmarkEnd w:id="28"/>
      <w:r>
        <w:rPr>
          <w:rFonts w:hint="default" w:ascii="方正仿宋_GB2312" w:hAnsi="方正仿宋_GB2312" w:eastAsia="方正仿宋_GB2312" w:cs="方正仿宋_GB2312"/>
          <w:b w:val="0"/>
          <w:bCs w:val="0"/>
          <w:sz w:val="32"/>
          <w:szCs w:val="32"/>
          <w:lang w:val="en-US" w:eastAsia="zh-CN"/>
        </w:rPr>
        <w:t>10箱以上，饲养6个月以上</w:t>
      </w:r>
      <w:bookmarkEnd w:id="27"/>
      <w:r>
        <w:rPr>
          <w:rFonts w:hint="default" w:ascii="方正仿宋_GB2312" w:hAnsi="方正仿宋_GB2312" w:eastAsia="方正仿宋_GB2312" w:cs="方正仿宋_GB2312"/>
          <w:b w:val="0"/>
          <w:bCs w:val="0"/>
          <w:sz w:val="32"/>
          <w:szCs w:val="32"/>
          <w:lang w:val="en-US" w:eastAsia="zh-CN"/>
        </w:rPr>
        <w:t>的，按照每箱200元的标准奖补。</w:t>
      </w:r>
    </w:p>
    <w:p w14:paraId="54655CF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方正仿宋_GB2312" w:hAnsi="方正仿宋_GB2312" w:eastAsia="方正仿宋_GB2312" w:cs="方正仿宋_GB2312"/>
          <w:b w:val="0"/>
          <w:bCs w:val="0"/>
          <w:sz w:val="32"/>
          <w:szCs w:val="32"/>
          <w:lang w:val="en-US" w:eastAsia="zh-CN"/>
        </w:rPr>
      </w:pPr>
      <w:bookmarkStart w:id="29" w:name="OLE_LINK41"/>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3</w:t>
      </w:r>
      <w:r>
        <w:rPr>
          <w:rFonts w:hint="default" w:ascii="Times New Roman" w:hAnsi="Times New Roman" w:eastAsia="仿宋_GB2312" w:cs="Times New Roman"/>
          <w:b/>
          <w:bCs/>
          <w:strike w:val="0"/>
          <w:dstrike w:val="0"/>
          <w:color w:val="auto"/>
          <w:spacing w:val="0"/>
          <w:sz w:val="32"/>
          <w:szCs w:val="32"/>
          <w:highlight w:val="none"/>
          <w:u w:val="none" w:color="auto"/>
        </w:rPr>
        <w:t>.</w:t>
      </w:r>
      <w:bookmarkStart w:id="30" w:name="OLE_LINK52"/>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现代</w:t>
      </w:r>
      <w:r>
        <w:rPr>
          <w:rFonts w:hint="default" w:ascii="Times New Roman" w:hAnsi="Times New Roman" w:eastAsia="仿宋_GB2312" w:cs="Times New Roman"/>
          <w:b/>
          <w:bCs/>
          <w:strike w:val="0"/>
          <w:dstrike w:val="0"/>
          <w:color w:val="auto"/>
          <w:spacing w:val="0"/>
          <w:sz w:val="32"/>
          <w:szCs w:val="32"/>
          <w:highlight w:val="none"/>
          <w:u w:val="none" w:color="auto"/>
        </w:rPr>
        <w:t>设施</w:t>
      </w: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农业</w:t>
      </w:r>
      <w:r>
        <w:rPr>
          <w:rFonts w:hint="default" w:ascii="Times New Roman" w:hAnsi="Times New Roman" w:eastAsia="仿宋_GB2312" w:cs="Times New Roman"/>
          <w:b/>
          <w:bCs/>
          <w:strike w:val="0"/>
          <w:dstrike w:val="0"/>
          <w:color w:val="auto"/>
          <w:spacing w:val="0"/>
          <w:sz w:val="32"/>
          <w:szCs w:val="32"/>
          <w:highlight w:val="none"/>
          <w:u w:val="none" w:color="auto"/>
        </w:rPr>
        <w:t>种植</w:t>
      </w:r>
      <w:bookmarkEnd w:id="30"/>
      <w:r>
        <w:rPr>
          <w:rFonts w:hint="default" w:ascii="Times New Roman" w:hAnsi="Times New Roman" w:eastAsia="仿宋_GB2312" w:cs="Times New Roman"/>
          <w:b/>
          <w:bCs/>
          <w:strike w:val="0"/>
          <w:dstrike w:val="0"/>
          <w:color w:val="auto"/>
          <w:spacing w:val="0"/>
          <w:sz w:val="32"/>
          <w:szCs w:val="32"/>
          <w:highlight w:val="none"/>
          <w:u w:val="none" w:color="auto"/>
        </w:rPr>
        <w:t>。</w:t>
      </w:r>
      <w:bookmarkEnd w:id="29"/>
      <w:r>
        <w:rPr>
          <w:rFonts w:hint="default" w:ascii="方正仿宋_GB2312" w:hAnsi="方正仿宋_GB2312" w:eastAsia="方正仿宋_GB2312" w:cs="方正仿宋_GB2312"/>
          <w:b w:val="0"/>
          <w:bCs w:val="0"/>
          <w:sz w:val="32"/>
          <w:szCs w:val="32"/>
          <w:lang w:val="en-US" w:eastAsia="zh-CN"/>
        </w:rPr>
        <w:t>一个标准棚（</w:t>
      </w:r>
      <w:bookmarkStart w:id="31" w:name="OLE_LINK51"/>
      <w:r>
        <w:rPr>
          <w:rFonts w:hint="default" w:ascii="方正仿宋_GB2312" w:hAnsi="方正仿宋_GB2312" w:eastAsia="方正仿宋_GB2312" w:cs="方正仿宋_GB2312"/>
          <w:b w:val="0"/>
          <w:bCs w:val="0"/>
          <w:sz w:val="32"/>
          <w:szCs w:val="32"/>
          <w:lang w:val="en-US" w:eastAsia="zh-CN"/>
        </w:rPr>
        <w:t>占地面积1亩，不足1亩的可按比例折算</w:t>
      </w:r>
      <w:bookmarkEnd w:id="31"/>
      <w:r>
        <w:rPr>
          <w:rFonts w:hint="default" w:ascii="方正仿宋_GB2312" w:hAnsi="方正仿宋_GB2312" w:eastAsia="方正仿宋_GB2312" w:cs="方正仿宋_GB2312"/>
          <w:b w:val="0"/>
          <w:bCs w:val="0"/>
          <w:sz w:val="32"/>
          <w:szCs w:val="32"/>
          <w:lang w:val="en-US" w:eastAsia="zh-CN"/>
        </w:rPr>
        <w:t>），购置菜苗按照每亩450元的标准奖补，购置食用菌按照每棒0.6元的标准奖补；对大棚（财政资金投资建设的除外）进行提升，按照每棚1500元的标准奖补，拱棚（财政资金投资建设的除外）改造按照每棚300元的标准奖补。</w:t>
      </w:r>
    </w:p>
    <w:p w14:paraId="32F2382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方正仿宋_GB2312" w:hAnsi="方正仿宋_GB2312" w:eastAsia="方正仿宋_GB2312" w:cs="方正仿宋_GB2312"/>
          <w:b w:val="0"/>
          <w:bCs w:val="0"/>
          <w:sz w:val="32"/>
          <w:szCs w:val="32"/>
          <w:lang w:val="en-US" w:eastAsia="zh-CN"/>
        </w:rPr>
      </w:pP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4</w:t>
      </w:r>
      <w:bookmarkStart w:id="32" w:name="OLE_LINK53"/>
      <w:r>
        <w:rPr>
          <w:rFonts w:hint="eastAsia" w:ascii="Times New Roman" w:hAnsi="Times New Roman" w:eastAsia="仿宋_GB2312" w:cs="Times New Roman"/>
          <w:b/>
          <w:bCs/>
          <w:strike w:val="0"/>
          <w:dstrike w:val="0"/>
          <w:color w:val="auto"/>
          <w:spacing w:val="0"/>
          <w:sz w:val="32"/>
          <w:szCs w:val="32"/>
          <w:highlight w:val="none"/>
          <w:u w:val="none" w:color="auto"/>
          <w:lang w:val="en-US" w:eastAsia="zh-CN"/>
        </w:rPr>
        <w:t>.</w:t>
      </w:r>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特色庭院经济</w:t>
      </w:r>
      <w:bookmarkEnd w:id="32"/>
      <w:r>
        <w:rPr>
          <w:rFonts w:hint="default" w:ascii="Times New Roman" w:hAnsi="Times New Roman" w:eastAsia="仿宋_GB2312" w:cs="Times New Roman"/>
          <w:b/>
          <w:bCs/>
          <w:strike w:val="0"/>
          <w:dstrike w:val="0"/>
          <w:color w:val="auto"/>
          <w:spacing w:val="0"/>
          <w:sz w:val="32"/>
          <w:szCs w:val="32"/>
          <w:highlight w:val="none"/>
          <w:u w:val="none" w:color="auto"/>
          <w:lang w:val="en-US" w:eastAsia="zh-CN"/>
        </w:rPr>
        <w:t>。</w:t>
      </w:r>
      <w:r>
        <w:rPr>
          <w:rFonts w:hint="default" w:ascii="方正仿宋_GB2312" w:hAnsi="方正仿宋_GB2312" w:eastAsia="方正仿宋_GB2312" w:cs="方正仿宋_GB2312"/>
          <w:b w:val="0"/>
          <w:bCs w:val="0"/>
          <w:sz w:val="32"/>
          <w:szCs w:val="32"/>
          <w:lang w:val="en-US" w:eastAsia="zh-CN"/>
        </w:rPr>
        <w:t>利用自家庭院发展特色种植，庭院蔬菜选择易管理易种易销的品种，如，叶菜类（青菜、生菜、菠菜等）、果菜类（番茄、黄瓜、辣椒等）、调味类（葱、蒜、香菜等）。鼓励发展特色品种，如野菜、养生菜（荠菜、马齿苋、薄荷）、鲜花种植等，并产生一定效益的，面积在1亩及以下的按照每0.1亩100元标准奖补；1亩以上的，超出面积按照每0.1亩50元的标准奖补，</w:t>
      </w:r>
      <w:r>
        <w:rPr>
          <w:rFonts w:hint="eastAsia" w:ascii="方正仿宋_GB2312" w:hAnsi="方正仿宋_GB2312" w:eastAsia="方正仿宋_GB2312" w:cs="方正仿宋_GB2312"/>
          <w:b w:val="0"/>
          <w:bCs w:val="0"/>
          <w:sz w:val="32"/>
          <w:szCs w:val="32"/>
          <w:lang w:val="en-US" w:eastAsia="zh-CN"/>
        </w:rPr>
        <w:t>每户最高奖补不超过2000元。</w:t>
      </w:r>
    </w:p>
    <w:p w14:paraId="5A2C173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楷体_GB2312" w:hAnsi="楷体_GB2312" w:eastAsia="楷体_GB2312" w:cs="楷体_GB2312"/>
          <w:b/>
          <w:bCs/>
          <w:sz w:val="32"/>
          <w:szCs w:val="32"/>
          <w:lang w:val="en-US" w:eastAsia="zh-CN"/>
        </w:rPr>
        <w:t>（五）手工经济。</w:t>
      </w:r>
      <w:r>
        <w:rPr>
          <w:rFonts w:hint="default" w:ascii="方正仿宋_GB2312" w:hAnsi="方正仿宋_GB2312" w:eastAsia="方正仿宋_GB2312" w:cs="方正仿宋_GB2312"/>
          <w:b w:val="0"/>
          <w:bCs w:val="0"/>
          <w:sz w:val="32"/>
          <w:szCs w:val="32"/>
          <w:lang w:val="en-US" w:eastAsia="zh-CN"/>
        </w:rPr>
        <w:t>对</w:t>
      </w:r>
      <w:bookmarkStart w:id="33" w:name="OLE_LINK62"/>
      <w:r>
        <w:rPr>
          <w:rFonts w:hint="default" w:ascii="方正仿宋_GB2312" w:hAnsi="方正仿宋_GB2312" w:eastAsia="方正仿宋_GB2312" w:cs="方正仿宋_GB2312"/>
          <w:b w:val="0"/>
          <w:bCs w:val="0"/>
          <w:sz w:val="32"/>
          <w:szCs w:val="32"/>
          <w:lang w:val="en-US" w:eastAsia="zh-CN"/>
        </w:rPr>
        <w:t>家庭手工作坊</w:t>
      </w:r>
      <w:bookmarkEnd w:id="33"/>
      <w:r>
        <w:rPr>
          <w:rFonts w:hint="default" w:ascii="方正仿宋_GB2312" w:hAnsi="方正仿宋_GB2312" w:eastAsia="方正仿宋_GB2312" w:cs="方正仿宋_GB2312"/>
          <w:b w:val="0"/>
          <w:bCs w:val="0"/>
          <w:sz w:val="32"/>
          <w:szCs w:val="32"/>
          <w:lang w:val="en-US" w:eastAsia="zh-CN"/>
        </w:rPr>
        <w:t>，</w:t>
      </w:r>
      <w:bookmarkStart w:id="34" w:name="OLE_LINK64"/>
      <w:r>
        <w:rPr>
          <w:rFonts w:hint="default" w:ascii="方正仿宋_GB2312" w:hAnsi="方正仿宋_GB2312" w:eastAsia="方正仿宋_GB2312" w:cs="方正仿宋_GB2312"/>
          <w:b w:val="0"/>
          <w:bCs w:val="0"/>
          <w:sz w:val="32"/>
          <w:szCs w:val="32"/>
          <w:lang w:val="en-US" w:eastAsia="zh-CN"/>
        </w:rPr>
        <w:t>从事民族手工艺、非遗、文创产品等制作，稳定经营3个月以上</w:t>
      </w:r>
      <w:bookmarkEnd w:id="34"/>
      <w:r>
        <w:rPr>
          <w:rFonts w:hint="default" w:ascii="方正仿宋_GB2312" w:hAnsi="方正仿宋_GB2312" w:eastAsia="方正仿宋_GB2312" w:cs="方正仿宋_GB2312"/>
          <w:b w:val="0"/>
          <w:bCs w:val="0"/>
          <w:sz w:val="32"/>
          <w:szCs w:val="32"/>
          <w:lang w:val="en-US" w:eastAsia="zh-CN"/>
        </w:rPr>
        <w:t>，经营面积≥15平方米的，按照每户3000元的标准奖补；对摊位、居家零散制作民族手工艺、非遗、文创产品的，稳定经营3个月以上，符合简易经营类条件的，按照每户2000元的标准奖补。</w:t>
      </w:r>
    </w:p>
    <w:p w14:paraId="45FEFA9D">
      <w:pPr>
        <w:pStyle w:val="5"/>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牵头单位：民族宗教事务局  责任单位：各乡镇</w:t>
      </w:r>
    </w:p>
    <w:p w14:paraId="47D64F7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楷体_GB2312" w:hAnsi="楷体_GB2312" w:eastAsia="楷体_GB2312" w:cs="楷体_GB2312"/>
          <w:b/>
          <w:bCs/>
          <w:sz w:val="32"/>
          <w:szCs w:val="32"/>
          <w:lang w:val="en-US" w:eastAsia="zh-CN"/>
        </w:rPr>
        <w:t>（六）经营性服务业。</w:t>
      </w:r>
      <w:r>
        <w:rPr>
          <w:rFonts w:hint="default" w:ascii="方正仿宋_GB2312" w:hAnsi="方正仿宋_GB2312" w:eastAsia="方正仿宋_GB2312" w:cs="方正仿宋_GB2312"/>
          <w:b w:val="0"/>
          <w:bCs w:val="0"/>
          <w:sz w:val="32"/>
          <w:szCs w:val="32"/>
          <w:lang w:val="en-US" w:eastAsia="zh-CN"/>
        </w:rPr>
        <w:t>对</w:t>
      </w:r>
      <w:bookmarkStart w:id="35" w:name="OLE_LINK65"/>
      <w:r>
        <w:rPr>
          <w:rFonts w:hint="default" w:ascii="方正仿宋_GB2312" w:hAnsi="方正仿宋_GB2312" w:eastAsia="方正仿宋_GB2312" w:cs="方正仿宋_GB2312"/>
          <w:b w:val="0"/>
          <w:bCs w:val="0"/>
          <w:sz w:val="32"/>
          <w:szCs w:val="32"/>
          <w:lang w:val="en-US" w:eastAsia="zh-CN"/>
        </w:rPr>
        <w:t>取得相关资质或营业许可，从事农业农村生产生活服务等经营活动</w:t>
      </w:r>
      <w:bookmarkEnd w:id="35"/>
      <w:r>
        <w:rPr>
          <w:rFonts w:hint="default"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b w:val="0"/>
          <w:bCs w:val="0"/>
          <w:sz w:val="32"/>
          <w:szCs w:val="32"/>
          <w:lang w:val="en-US" w:eastAsia="zh-CN"/>
        </w:rPr>
        <w:t>如经营食品及餐厅、商店、农资兽药、蔬菜肉类销售等经营活动的，</w:t>
      </w:r>
      <w:r>
        <w:rPr>
          <w:rFonts w:hint="default" w:ascii="方正仿宋_GB2312" w:hAnsi="方正仿宋_GB2312" w:eastAsia="方正仿宋_GB2312" w:cs="方正仿宋_GB2312"/>
          <w:b w:val="0"/>
          <w:bCs w:val="0"/>
          <w:sz w:val="32"/>
          <w:szCs w:val="32"/>
          <w:lang w:val="en-US" w:eastAsia="zh-CN"/>
        </w:rPr>
        <w:t>生产或经营面积在20平方米（含）以上，稳定经营至少3个月的，按照2000元标准奖补；生产或经营面积不足20平方米（包括摊位），稳定经营至少3个月的，按照1000元的标准奖补。</w:t>
      </w:r>
    </w:p>
    <w:p w14:paraId="4E5AC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牵头单位：农业农村局，配合单位：市场监督管理局，</w:t>
      </w:r>
    </w:p>
    <w:p w14:paraId="389B1A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责任单位：各乡镇</w:t>
      </w:r>
    </w:p>
    <w:p w14:paraId="33F90D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三、验收标准与实施流程</w:t>
      </w:r>
    </w:p>
    <w:p w14:paraId="501B6E2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（一）组建分级专项验收小组</w:t>
      </w:r>
      <w:bookmarkStart w:id="36" w:name="_GoBack"/>
      <w:bookmarkEnd w:id="36"/>
    </w:p>
    <w:p w14:paraId="3C7B9F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为规范到户产业项目验收管理，杜绝形式验收、模糊验收，建立乡村两级初审验收、县级分行业专项复核验收的分级验收机制，明确各级验收主体、职责分工，实现专业验收、精准核验、有据可查。</w:t>
      </w:r>
    </w:p>
    <w:p w14:paraId="19AAA2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乡、村联和验收组。由乡镇牵头，统筹村级力量组建乡村联合验收组，成员由乡分管领导、农业科室、畜牧科室、乡村振兴经办人员、村“两委”干部、驻村工作队、网格员共同组成。联合验收组全权负责辖区内所有到户产业项目的实地核查、现场核验、影像资料留存、台账核对、村级公示、初审复核等全流程工作，统一核验项目真实性、建设规模准确性、产业措施落地成效，出具乡村两级联合验收意见，汇总整理资料后上报县级各行业主管部门复核。</w:t>
      </w:r>
    </w:p>
    <w:p w14:paraId="67EE04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2.县级分行业专项验收组（分领域归口负责）</w:t>
      </w:r>
    </w:p>
    <w:p w14:paraId="5C5399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种植业项目：由县农业农村局相关科室抽调人员，组建种植业专项验收组，负责全县粮食种植、特色种植、设施农业等种植类到户项目的抽查复核、质量核验、标准把控、技术认定。</w:t>
      </w:r>
    </w:p>
    <w:p w14:paraId="20B061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林果业项目：由县林业和草原局为主体责任单位，组建林果业专项验收组，负责全县林果种植、品种优化、疏密改造、整形修剪、病虫害防治等林果提质增效项目的专业验收、成效认定、技术核查。</w:t>
      </w:r>
    </w:p>
    <w:p w14:paraId="1B0C9F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畜牧业项目：由县农业农村局相关科室抽调人员，组建畜牧业专项验收组，负责全县良种畜禽养殖、母畜扩增、育肥养殖、疫病防治、青贮窖建设改造等畜牧类项目的专项核验、资质认定、存栏核实，杜绝虚假养殖、转圈养殖。</w:t>
      </w:r>
    </w:p>
    <w:p w14:paraId="63CB73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庭院经济、经营性服务类项目：由县农业农村局统筹，结合乡村联合验收，负责小微经营、庭院产业项目的综合验收核查。</w:t>
      </w:r>
    </w:p>
    <w:p w14:paraId="114065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民族手工及文创项目：由县民族宗教事务局为主体责任单位，组建手工经济专项验收组，负责全县民族手工艺、非遗文创、居家手工经营类项目的经营资质、经营时长、经营成效专项验收认定。</w:t>
      </w:r>
    </w:p>
    <w:p w14:paraId="4FF31F3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（二）细化专项验收标准</w:t>
      </w:r>
    </w:p>
    <w:p w14:paraId="26CD86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坚持“量化指标、据实验收、有据可查”原则，分类制定各产业验收标准，杜绝模糊验收、形式验收。</w:t>
      </w:r>
    </w:p>
    <w:p w14:paraId="701C3D28">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outlineLvl w:val="2"/>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1.种植类项目</w:t>
      </w:r>
      <w:r>
        <w:rPr>
          <w:rFonts w:hint="eastAsia" w:ascii="方正仿宋_GB2312" w:hAnsi="方正仿宋_GB2312" w:eastAsia="方正仿宋_GB2312" w:cs="方正仿宋_GB2312"/>
          <w:b w:val="0"/>
          <w:bCs w:val="0"/>
          <w:sz w:val="32"/>
          <w:szCs w:val="32"/>
          <w:lang w:val="en-US" w:eastAsia="zh-CN"/>
        </w:rPr>
        <w:t>：核查实际种植面积、品种合规性、技术落实情况、田间长势，核对土地台账、作业凭证、农资购置记录，确保面积真实、品种合规、措施落地。</w:t>
      </w:r>
    </w:p>
    <w:p w14:paraId="395BF277">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outlineLvl w:val="2"/>
        <w:rPr>
          <w:rFonts w:hint="eastAsia" w:ascii="方正仿宋简体" w:hAnsi="方正仿宋简体" w:eastAsia="方正仿宋简体" w:cs="方正仿宋简体"/>
          <w:b/>
          <w:bCs/>
          <w:color w:val="000000"/>
          <w:kern w:val="2"/>
          <w:sz w:val="32"/>
          <w:szCs w:val="32"/>
          <w:highlight w:val="none"/>
          <w:lang w:val="en-US" w:eastAsia="zh-CN" w:bidi="ar-SA"/>
        </w:rPr>
      </w:pPr>
      <w:r>
        <w:rPr>
          <w:rFonts w:hint="eastAsia" w:ascii="楷体_GB2312" w:hAnsi="楷体_GB2312" w:eastAsia="楷体_GB2312" w:cs="楷体_GB2312"/>
          <w:b/>
          <w:bCs/>
          <w:color w:val="000000"/>
          <w:kern w:val="2"/>
          <w:sz w:val="32"/>
          <w:szCs w:val="32"/>
          <w:highlight w:val="none"/>
          <w:lang w:val="en-US" w:eastAsia="zh-CN" w:bidi="ar-SA"/>
        </w:rPr>
        <w:t>耕地质量提升：</w:t>
      </w:r>
      <w:r>
        <w:rPr>
          <w:rFonts w:hint="eastAsia" w:ascii="方正仿宋简体" w:hAnsi="方正仿宋简体" w:eastAsia="方正仿宋简体" w:cs="方正仿宋简体"/>
          <w:b/>
          <w:bCs/>
          <w:color w:val="000000"/>
          <w:kern w:val="2"/>
          <w:sz w:val="32"/>
          <w:szCs w:val="32"/>
          <w:highlight w:val="none"/>
          <w:lang w:val="en-US" w:eastAsia="zh-CN" w:bidi="ar-SA"/>
        </w:rPr>
        <w:t>验收深松作业项目的清单</w:t>
      </w:r>
    </w:p>
    <w:p w14:paraId="231DDC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方正仿宋简体" w:hAnsi="方正仿宋简体" w:eastAsia="方正仿宋简体" w:cs="方正仿宋简体"/>
          <w:b w:val="0"/>
          <w:bCs w:val="0"/>
          <w:spacing w:val="12"/>
          <w:sz w:val="32"/>
          <w:szCs w:val="32"/>
          <w:highlight w:val="none"/>
          <w:lang w:val="en-US" w:eastAsia="zh-CN"/>
        </w:rPr>
      </w:pP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②乡、村两级地块验</w:t>
      </w:r>
      <w:r>
        <w:rPr>
          <w:rFonts w:hint="eastAsia" w:ascii="方正仿宋简体" w:hAnsi="方正仿宋简体" w:eastAsia="方正仿宋简体" w:cs="方正仿宋简体"/>
          <w:b w:val="0"/>
          <w:bCs w:val="0"/>
          <w:kern w:val="2"/>
          <w:sz w:val="32"/>
          <w:szCs w:val="32"/>
          <w:highlight w:val="none"/>
          <w:lang w:val="en-US" w:eastAsia="zh-CN" w:bidi="ar-SA"/>
        </w:rPr>
        <w:t xml:space="preserve">收实地照片③ </w:t>
      </w:r>
      <w:r>
        <w:rPr>
          <w:rFonts w:hint="eastAsia" w:ascii="方正仿宋简体" w:hAnsi="方正仿宋简体" w:eastAsia="方正仿宋简体" w:cs="方正仿宋简体"/>
          <w:b w:val="0"/>
          <w:bCs w:val="0"/>
          <w:spacing w:val="12"/>
          <w:sz w:val="32"/>
          <w:szCs w:val="32"/>
          <w:highlight w:val="none"/>
        </w:rPr>
        <w:t>实施种植绿肥、实施秸秆还田深松</w:t>
      </w:r>
      <w:r>
        <w:rPr>
          <w:rFonts w:hint="eastAsia" w:ascii="方正仿宋简体" w:hAnsi="方正仿宋简体" w:eastAsia="方正仿宋简体" w:cs="方正仿宋简体"/>
          <w:b w:val="0"/>
          <w:bCs w:val="0"/>
          <w:spacing w:val="12"/>
          <w:sz w:val="32"/>
          <w:szCs w:val="32"/>
          <w:highlight w:val="none"/>
          <w:lang w:val="en-US" w:eastAsia="zh-CN"/>
        </w:rPr>
        <w:t>作业的记录及付款凭证。</w:t>
      </w:r>
    </w:p>
    <w:p w14:paraId="0F9EC2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both"/>
        <w:textAlignment w:val="auto"/>
        <w:rPr>
          <w:rFonts w:hint="eastAsia" w:ascii="方正仿宋简体" w:hAnsi="方正仿宋简体" w:eastAsia="方正仿宋简体" w:cs="方正仿宋简体"/>
          <w:b/>
          <w:bCs/>
          <w:color w:val="000000"/>
          <w:kern w:val="2"/>
          <w:sz w:val="32"/>
          <w:szCs w:val="32"/>
          <w:highlight w:val="none"/>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验收种植绿肥、实施秸秆还田项目的清单</w:t>
      </w:r>
    </w:p>
    <w:p w14:paraId="6165BE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方正仿宋简体" w:hAnsi="方正仿宋简体" w:eastAsia="方正仿宋简体" w:cs="方正仿宋简体"/>
          <w:b w:val="0"/>
          <w:bCs w:val="0"/>
          <w:spacing w:val="12"/>
          <w:sz w:val="32"/>
          <w:szCs w:val="32"/>
          <w:highlight w:val="none"/>
          <w:lang w:eastAsia="zh-CN"/>
        </w:rPr>
      </w:pPr>
      <w:r>
        <w:rPr>
          <w:rFonts w:hint="eastAsia" w:ascii="方正仿宋简体" w:hAnsi="方正仿宋简体" w:eastAsia="方正仿宋简体" w:cs="方正仿宋简体"/>
          <w:b w:val="0"/>
          <w:bCs w:val="0"/>
          <w:kern w:val="2"/>
          <w:sz w:val="32"/>
          <w:szCs w:val="32"/>
          <w:highlight w:val="none"/>
          <w:lang w:val="en-US" w:eastAsia="zh-CN" w:bidi="ar-SA"/>
        </w:rPr>
        <w:t xml:space="preserve">①农户身份证复印件、银行卡复印件 ②乡、村两级地块验收实地照片③ </w:t>
      </w:r>
      <w:r>
        <w:rPr>
          <w:rFonts w:hint="eastAsia" w:ascii="方正仿宋简体" w:hAnsi="方正仿宋简体" w:eastAsia="方正仿宋简体" w:cs="方正仿宋简体"/>
          <w:b w:val="0"/>
          <w:bCs w:val="0"/>
          <w:spacing w:val="12"/>
          <w:sz w:val="32"/>
          <w:szCs w:val="32"/>
          <w:highlight w:val="none"/>
        </w:rPr>
        <w:t>种植绿肥、实施秸秆还田</w:t>
      </w:r>
      <w:r>
        <w:rPr>
          <w:rFonts w:hint="eastAsia" w:ascii="方正仿宋简体" w:hAnsi="方正仿宋简体" w:eastAsia="方正仿宋简体" w:cs="方正仿宋简体"/>
          <w:b w:val="0"/>
          <w:bCs w:val="0"/>
          <w:spacing w:val="12"/>
          <w:sz w:val="32"/>
          <w:szCs w:val="32"/>
          <w:highlight w:val="none"/>
          <w:lang w:val="en-US" w:eastAsia="zh-CN"/>
        </w:rPr>
        <w:t>图片及机耕作业付款凭证。</w:t>
      </w:r>
    </w:p>
    <w:p w14:paraId="42F8812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方正仿宋简体" w:hAnsi="方正仿宋简体" w:eastAsia="方正仿宋简体" w:cs="方正仿宋简体"/>
          <w:b/>
          <w:bCs/>
          <w:color w:val="000000"/>
          <w:kern w:val="2"/>
          <w:sz w:val="32"/>
          <w:szCs w:val="32"/>
          <w:highlight w:val="none"/>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验收积造有机肥并施用项目的清单</w:t>
      </w:r>
    </w:p>
    <w:p w14:paraId="4D202F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方正仿宋简体" w:hAnsi="方正仿宋简体" w:eastAsia="方正仿宋简体" w:cs="方正仿宋简体"/>
          <w:b w:val="0"/>
          <w:bCs w:val="0"/>
          <w:spacing w:val="12"/>
          <w:sz w:val="32"/>
          <w:szCs w:val="32"/>
          <w:highlight w:val="none"/>
          <w:lang w:val="en-US" w:eastAsia="zh-CN"/>
        </w:rPr>
      </w:pPr>
      <w:r>
        <w:rPr>
          <w:rFonts w:hint="eastAsia" w:ascii="方正仿宋简体" w:hAnsi="方正仿宋简体" w:eastAsia="方正仿宋简体" w:cs="方正仿宋简体"/>
          <w:b w:val="0"/>
          <w:bCs w:val="0"/>
          <w:kern w:val="2"/>
          <w:sz w:val="32"/>
          <w:szCs w:val="32"/>
          <w:highlight w:val="none"/>
          <w:lang w:val="en-US" w:eastAsia="zh-CN" w:bidi="ar-SA"/>
        </w:rPr>
        <w:t xml:space="preserve">①农户身份证复印件、银行卡复印件 ②乡、村两级地块验收实地照片③ </w:t>
      </w:r>
      <w:r>
        <w:rPr>
          <w:rFonts w:hint="eastAsia" w:ascii="方正仿宋简体" w:hAnsi="方正仿宋简体" w:eastAsia="方正仿宋简体" w:cs="方正仿宋简体"/>
          <w:b w:val="0"/>
          <w:bCs w:val="0"/>
          <w:spacing w:val="12"/>
          <w:sz w:val="32"/>
          <w:szCs w:val="32"/>
          <w:highlight w:val="none"/>
        </w:rPr>
        <w:t>积造</w:t>
      </w:r>
      <w:r>
        <w:rPr>
          <w:rFonts w:hint="eastAsia" w:ascii="方正仿宋简体" w:hAnsi="方正仿宋简体" w:eastAsia="方正仿宋简体" w:cs="方正仿宋简体"/>
          <w:b w:val="0"/>
          <w:bCs w:val="0"/>
          <w:spacing w:val="12"/>
          <w:sz w:val="32"/>
          <w:szCs w:val="32"/>
          <w:highlight w:val="none"/>
          <w:lang w:eastAsia="zh-CN"/>
        </w:rPr>
        <w:t>（</w:t>
      </w:r>
      <w:r>
        <w:rPr>
          <w:rFonts w:hint="eastAsia" w:ascii="方正仿宋简体" w:hAnsi="方正仿宋简体" w:eastAsia="方正仿宋简体" w:cs="方正仿宋简体"/>
          <w:b w:val="0"/>
          <w:bCs w:val="0"/>
          <w:spacing w:val="12"/>
          <w:sz w:val="32"/>
          <w:szCs w:val="32"/>
          <w:highlight w:val="none"/>
          <w:lang w:val="en-US" w:eastAsia="zh-CN"/>
        </w:rPr>
        <w:t>购买</w:t>
      </w:r>
      <w:r>
        <w:rPr>
          <w:rFonts w:hint="eastAsia" w:ascii="方正仿宋简体" w:hAnsi="方正仿宋简体" w:eastAsia="方正仿宋简体" w:cs="方正仿宋简体"/>
          <w:b w:val="0"/>
          <w:bCs w:val="0"/>
          <w:spacing w:val="12"/>
          <w:sz w:val="32"/>
          <w:szCs w:val="32"/>
          <w:highlight w:val="none"/>
          <w:lang w:eastAsia="zh-CN"/>
        </w:rPr>
        <w:t>）</w:t>
      </w:r>
      <w:r>
        <w:rPr>
          <w:rFonts w:hint="eastAsia" w:ascii="方正仿宋简体" w:hAnsi="方正仿宋简体" w:eastAsia="方正仿宋简体" w:cs="方正仿宋简体"/>
          <w:b w:val="0"/>
          <w:bCs w:val="0"/>
          <w:spacing w:val="12"/>
          <w:sz w:val="32"/>
          <w:szCs w:val="32"/>
          <w:highlight w:val="none"/>
        </w:rPr>
        <w:t>有机肥并施用</w:t>
      </w:r>
      <w:r>
        <w:rPr>
          <w:rFonts w:hint="eastAsia" w:ascii="方正仿宋简体" w:hAnsi="方正仿宋简体" w:eastAsia="方正仿宋简体" w:cs="方正仿宋简体"/>
          <w:b w:val="0"/>
          <w:bCs w:val="0"/>
          <w:spacing w:val="12"/>
          <w:sz w:val="32"/>
          <w:szCs w:val="32"/>
          <w:highlight w:val="none"/>
          <w:lang w:val="en-US" w:eastAsia="zh-CN"/>
        </w:rPr>
        <w:t>的图片及付款凭证。</w:t>
      </w:r>
    </w:p>
    <w:p w14:paraId="7302CD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楷体_GB2312" w:hAnsi="楷体_GB2312" w:eastAsia="楷体_GB2312" w:cs="楷体_GB2312"/>
          <w:b/>
          <w:bCs/>
          <w:color w:val="000000"/>
          <w:kern w:val="2"/>
          <w:sz w:val="32"/>
          <w:szCs w:val="32"/>
          <w:highlight w:val="none"/>
          <w:lang w:val="en-US" w:eastAsia="zh-CN" w:bidi="ar-SA"/>
        </w:rPr>
        <w:t>关键技术运用：</w:t>
      </w:r>
      <w:r>
        <w:rPr>
          <w:rFonts w:hint="eastAsia" w:ascii="方正仿宋简体" w:hAnsi="方正仿宋简体" w:eastAsia="方正仿宋简体" w:cs="方正仿宋简体"/>
          <w:b/>
          <w:bCs/>
          <w:color w:val="000000"/>
          <w:kern w:val="2"/>
          <w:sz w:val="32"/>
          <w:szCs w:val="32"/>
          <w:highlight w:val="none"/>
          <w:lang w:val="en-US" w:eastAsia="zh-CN" w:bidi="ar-SA"/>
        </w:rPr>
        <w:t>验收实施节水滴灌灌溉模式项目的清单：</w:t>
      </w:r>
      <w:r>
        <w:rPr>
          <w:rFonts w:hint="eastAsia" w:ascii="方正仿宋简体" w:hAnsi="方正仿宋简体" w:eastAsia="方正仿宋简体" w:cs="方正仿宋简体"/>
          <w:b w:val="0"/>
          <w:bCs w:val="0"/>
          <w:kern w:val="2"/>
          <w:sz w:val="32"/>
          <w:szCs w:val="32"/>
          <w:highlight w:val="none"/>
          <w:lang w:val="en-US" w:eastAsia="zh-CN" w:bidi="ar-SA"/>
        </w:rPr>
        <w:t>①农户身份证复印件、银行卡复印件 ②乡、村两级地块验收实地照片③承包或者经营地块面积相关的证明。</w:t>
      </w:r>
    </w:p>
    <w:p w14:paraId="3579D71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方正仿宋简体" w:hAnsi="方正仿宋简体" w:eastAsia="方正仿宋简体" w:cs="方正仿宋简体"/>
          <w:b/>
          <w:bCs/>
          <w:color w:val="000000"/>
          <w:kern w:val="2"/>
          <w:sz w:val="32"/>
          <w:szCs w:val="32"/>
          <w:highlight w:val="none"/>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验收采用分流式整地机平地项目的清单</w:t>
      </w:r>
    </w:p>
    <w:p w14:paraId="337D04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kern w:val="2"/>
          <w:sz w:val="32"/>
          <w:szCs w:val="32"/>
          <w:highlight w:val="none"/>
          <w:lang w:val="en-US" w:eastAsia="zh-CN" w:bidi="ar-SA"/>
        </w:rPr>
        <w:t>①农户身份证复印件、银行卡复印件 ②乡、村两级地块验收实地照片③农机作业支付凭证。</w:t>
      </w:r>
    </w:p>
    <w:p w14:paraId="6E4CBA3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方正仿宋简体" w:hAnsi="方正仿宋简体" w:eastAsia="方正仿宋简体" w:cs="方正仿宋简体"/>
          <w:b/>
          <w:bCs/>
          <w:color w:val="000000"/>
          <w:kern w:val="2"/>
          <w:sz w:val="32"/>
          <w:szCs w:val="32"/>
          <w:highlight w:val="none"/>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验收病虫草鼠害防治项目的清单</w:t>
      </w:r>
    </w:p>
    <w:p w14:paraId="5985C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简体" w:hAnsi="方正仿宋简体" w:eastAsia="方正仿宋简体" w:cs="方正仿宋简体"/>
          <w:b w:val="0"/>
          <w:bCs w:val="0"/>
          <w:kern w:val="2"/>
          <w:sz w:val="32"/>
          <w:szCs w:val="32"/>
          <w:highlight w:val="none"/>
          <w:lang w:val="en-US" w:eastAsia="zh-CN" w:bidi="ar-SA"/>
        </w:rPr>
        <w:t>①农户身份证复印件、银行卡复印件 ②乡、村两级地块验收实地照片③购药及飞防相关支付凭证。</w:t>
      </w:r>
      <w:r>
        <w:rPr>
          <w:rFonts w:hint="eastAsia" w:ascii="方正仿宋简体" w:hAnsi="方正仿宋简体" w:eastAsia="方正仿宋简体" w:cs="方正仿宋简体"/>
          <w:b w:val="0"/>
          <w:bCs w:val="0"/>
          <w:kern w:val="2"/>
          <w:sz w:val="32"/>
          <w:szCs w:val="32"/>
          <w:lang w:val="en-US" w:eastAsia="zh-CN" w:bidi="ar-SA"/>
        </w:rPr>
        <w:t xml:space="preserve"> </w:t>
      </w:r>
    </w:p>
    <w:p w14:paraId="4DB6FFE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林果类项目</w:t>
      </w:r>
      <w:r>
        <w:rPr>
          <w:rFonts w:hint="eastAsia" w:ascii="方正仿宋_GB2312" w:hAnsi="方正仿宋_GB2312" w:eastAsia="方正仿宋_GB2312" w:cs="方正仿宋_GB2312"/>
          <w:b w:val="0"/>
          <w:bCs w:val="0"/>
          <w:sz w:val="32"/>
          <w:szCs w:val="32"/>
          <w:lang w:val="en-US" w:eastAsia="zh-CN"/>
        </w:rPr>
        <w:t>：核查果树品种、疏密改造、修剪、病虫害防治等实际作业情况，现场清点株数、核查改造成效，核对专业技术服务台账，确保提质增效措施落实到位。</w:t>
      </w:r>
    </w:p>
    <w:p w14:paraId="537512B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楷体_GB2312" w:hAnsi="楷体_GB2312" w:eastAsia="楷体_GB2312" w:cs="楷体_GB2312"/>
          <w:b/>
          <w:bCs/>
          <w:color w:val="000000"/>
          <w:kern w:val="2"/>
          <w:sz w:val="32"/>
          <w:szCs w:val="32"/>
          <w:highlight w:val="none"/>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验收品种优化项目的清单：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②乡、村两级实地验收现场照片</w:t>
      </w:r>
      <w:r>
        <w:rPr>
          <w:rFonts w:hint="eastAsia" w:ascii="方正仿宋简体" w:hAnsi="方正仿宋简体" w:eastAsia="方正仿宋简体" w:cs="方正仿宋简体"/>
          <w:b w:val="0"/>
          <w:bCs w:val="0"/>
          <w:kern w:val="2"/>
          <w:sz w:val="32"/>
          <w:szCs w:val="32"/>
          <w:highlight w:val="none"/>
          <w:lang w:val="en-US" w:eastAsia="zh-CN" w:bidi="ar-SA"/>
        </w:rPr>
        <w:t>③地块面积相关的证明。</w:t>
      </w:r>
    </w:p>
    <w:p w14:paraId="57FFDF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楷体_GB2312" w:hAnsi="楷体_GB2312" w:eastAsia="楷体_GB2312" w:cs="楷体_GB2312"/>
          <w:b/>
          <w:bCs/>
          <w:color w:val="000000"/>
          <w:kern w:val="2"/>
          <w:sz w:val="32"/>
          <w:szCs w:val="32"/>
          <w:highlight w:val="none"/>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验收整形修剪项目的清单：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②乡、村两级实地验收现场照片</w:t>
      </w:r>
      <w:r>
        <w:rPr>
          <w:rFonts w:hint="eastAsia" w:ascii="方正仿宋简体" w:hAnsi="方正仿宋简体" w:eastAsia="方正仿宋简体" w:cs="方正仿宋简体"/>
          <w:b w:val="0"/>
          <w:bCs w:val="0"/>
          <w:kern w:val="2"/>
          <w:sz w:val="32"/>
          <w:szCs w:val="32"/>
          <w:highlight w:val="none"/>
          <w:lang w:val="en-US" w:eastAsia="zh-CN" w:bidi="ar-SA"/>
        </w:rPr>
        <w:t>③地块面积相关的证明</w:t>
      </w:r>
    </w:p>
    <w:p w14:paraId="7B54CC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简体" w:hAnsi="方正仿宋简体" w:eastAsia="方正仿宋简体" w:cs="方正仿宋简体"/>
          <w:b/>
          <w:bCs/>
          <w:color w:val="000000"/>
          <w:kern w:val="2"/>
          <w:sz w:val="32"/>
          <w:szCs w:val="32"/>
          <w:highlight w:val="none"/>
          <w:lang w:val="en-US" w:eastAsia="zh-CN" w:bidi="ar-SA"/>
        </w:rPr>
        <w:t>验收病虫害防治项目的清单：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②乡、村两级实地验收现场照片</w:t>
      </w:r>
      <w:r>
        <w:rPr>
          <w:rFonts w:hint="eastAsia" w:ascii="方正仿宋简体" w:hAnsi="方正仿宋简体" w:eastAsia="方正仿宋简体" w:cs="方正仿宋简体"/>
          <w:b w:val="0"/>
          <w:bCs w:val="0"/>
          <w:kern w:val="2"/>
          <w:sz w:val="32"/>
          <w:szCs w:val="32"/>
          <w:highlight w:val="none"/>
          <w:lang w:val="en-US" w:eastAsia="zh-CN" w:bidi="ar-SA"/>
        </w:rPr>
        <w:t>③地块面积相关的证明。</w:t>
      </w:r>
    </w:p>
    <w:p w14:paraId="50ECB2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_GB2312" w:hAnsi="方正仿宋_GB2312" w:eastAsia="方正仿宋_GB2312" w:cs="方正仿宋_GB2312"/>
          <w:b/>
          <w:bCs/>
          <w:sz w:val="32"/>
          <w:szCs w:val="32"/>
          <w:lang w:val="en-US" w:eastAsia="zh-CN"/>
        </w:rPr>
        <w:t>3. 畜牧类项目</w:t>
      </w:r>
      <w:r>
        <w:rPr>
          <w:rFonts w:hint="eastAsia" w:ascii="方正仿宋_GB2312" w:hAnsi="方正仿宋_GB2312" w:eastAsia="方正仿宋_GB2312" w:cs="方正仿宋_GB2312"/>
          <w:b w:val="0"/>
          <w:bCs w:val="0"/>
          <w:sz w:val="32"/>
          <w:szCs w:val="32"/>
          <w:lang w:val="en-US" w:eastAsia="zh-CN"/>
        </w:rPr>
        <w:t>：核查畜禽存栏数量、品种资质、饲养周期、防疫记录、佩戴耳标、系统录入情况，实地核验养殖规模，杜绝虚假养殖、转圈养殖，留存影像、台账资料备查。</w:t>
      </w:r>
      <w:r>
        <w:rPr>
          <w:rFonts w:hint="eastAsia" w:ascii="方正仿宋简体" w:hAnsi="方正仿宋简体" w:eastAsia="方正仿宋简体" w:cs="方正仿宋简体"/>
          <w:b/>
          <w:bCs/>
          <w:color w:val="000000"/>
          <w:kern w:val="2"/>
          <w:sz w:val="32"/>
          <w:szCs w:val="32"/>
          <w:highlight w:val="none"/>
          <w:lang w:val="en-US" w:eastAsia="zh-CN" w:bidi="ar-SA"/>
        </w:rPr>
        <w:t>验收自繁牛、羊项目的清单：</w:t>
      </w:r>
      <w:r>
        <w:rPr>
          <w:rFonts w:hint="eastAsia" w:ascii="方正仿宋简体" w:hAnsi="方正仿宋简体" w:eastAsia="方正仿宋简体" w:cs="方正仿宋简体"/>
          <w:b w:val="0"/>
          <w:bCs w:val="0"/>
          <w:kern w:val="2"/>
          <w:sz w:val="32"/>
          <w:szCs w:val="32"/>
          <w:lang w:val="en-US" w:eastAsia="zh-CN" w:bidi="ar-SA"/>
        </w:rPr>
        <w:t xml:space="preserve">①农户身份证复印件、银行卡复印件 ②无纸化系统备案信息截图复印件 ③防疫系统疫苗接种信息截图复印件 ④牲畜耳标实拍照片 ⑤乡、村两级实地验收现场照片 ⑥系统内母牛档案、产犊明细记录截图复印件 </w:t>
      </w:r>
    </w:p>
    <w:p w14:paraId="29A9E9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验收引进牛、羊项目的清单：</w:t>
      </w:r>
      <w:r>
        <w:rPr>
          <w:rFonts w:hint="eastAsia" w:ascii="方正仿宋简体" w:hAnsi="方正仿宋简体" w:eastAsia="方正仿宋简体" w:cs="方正仿宋简体"/>
          <w:b w:val="0"/>
          <w:bCs w:val="0"/>
          <w:kern w:val="2"/>
          <w:sz w:val="32"/>
          <w:szCs w:val="32"/>
          <w:lang w:val="en-US" w:eastAsia="zh-CN" w:bidi="ar-SA"/>
        </w:rPr>
        <w:t xml:space="preserve">①农户身份证复印件、银行卡复印件 ②无纸化系统备案信息截图复印件 ③防疫系统疫苗接种信息截图复印件 ④牲畜耳标实拍照片⑤乡、村两级实地验收现场照片 ⑥外购畜禽检疫合格证复印件 </w:t>
      </w:r>
    </w:p>
    <w:p w14:paraId="4573F9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验收调羔育肥新增肉羊项目的清单：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②无纸化系统备案信息截图复印件 ③防疫系统疫苗接种信息截图复印件 ④牲畜耳标实拍照片⑤乡、村两级实地验收现场照片 ⑥肉羊外购检疫证复印件⑦出栏村委会出证明</w:t>
      </w:r>
    </w:p>
    <w:p w14:paraId="0AC63F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验收牲畜品种改良（马、羊）项目的清单：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②无纸化系统备案信息截图复印件 ③防疫系统疫苗接种信息截图复印件 ④牲畜耳标实拍照片⑤乡、村两级实地验收现场照片 ⑥引种、种畜检疫证复印件 ⑦配种服务单据、配种台账 ⑧定胎B超单</w:t>
      </w:r>
    </w:p>
    <w:p w14:paraId="326D70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验收常见多发病防治项目的清单：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②防疫系统疫苗接种信息截图复印件 ③牲畜耳标实拍照片 ④乡、村两级实地验收现场照片 ⑤畜禽常见病诊疗记录材料 ⑥兽医防疫、治疗服务证明</w:t>
      </w:r>
    </w:p>
    <w:p w14:paraId="20DF79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简体" w:hAnsi="方正仿宋简体" w:eastAsia="方正仿宋简体" w:cs="方正仿宋简体"/>
          <w:b/>
          <w:bCs/>
          <w:color w:val="000000"/>
          <w:kern w:val="2"/>
          <w:sz w:val="32"/>
          <w:szCs w:val="32"/>
          <w:highlight w:val="none"/>
          <w:lang w:val="en-US" w:eastAsia="zh-CN" w:bidi="ar-SA"/>
        </w:rPr>
        <w:t>验收青贮窖建设改造项目的清单：</w:t>
      </w:r>
      <w:r>
        <w:rPr>
          <w:rFonts w:hint="eastAsia" w:ascii="方正仿宋简体" w:hAnsi="方正仿宋简体" w:eastAsia="方正仿宋简体" w:cs="方正仿宋简体"/>
          <w:b w:val="0"/>
          <w:bCs w:val="0"/>
          <w:kern w:val="2"/>
          <w:sz w:val="32"/>
          <w:szCs w:val="32"/>
          <w:lang w:val="en-US" w:eastAsia="zh-CN" w:bidi="ar-SA"/>
        </w:rPr>
        <w:t>农户身份证复印件、银行卡复印件 ②乡、村两级窖体建设前后对比验收照片 ③青贮窖尺寸、造价、用料佐证资料</w:t>
      </w:r>
    </w:p>
    <w:p w14:paraId="094C50ED">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_GB2312" w:hAnsi="方正仿宋_GB2312" w:eastAsia="方正仿宋_GB2312" w:cs="方正仿宋_GB2312"/>
          <w:b/>
          <w:bCs/>
          <w:sz w:val="32"/>
          <w:szCs w:val="32"/>
          <w:lang w:val="en-US" w:eastAsia="zh-CN"/>
        </w:rPr>
        <w:t>4.乡村特色产业</w:t>
      </w:r>
      <w:r>
        <w:rPr>
          <w:rFonts w:hint="eastAsia" w:ascii="方正仿宋_GB2312" w:hAnsi="方正仿宋_GB2312" w:eastAsia="方正仿宋_GB2312" w:cs="方正仿宋_GB2312"/>
          <w:b w:val="0"/>
          <w:bCs w:val="0"/>
          <w:sz w:val="32"/>
          <w:szCs w:val="32"/>
          <w:lang w:val="en-US" w:eastAsia="zh-CN"/>
        </w:rPr>
        <w:t>：核查经营场地、经营设备、经营时长、产出成果、核验经营资质确保稳定经营、真实产生效益。</w:t>
      </w:r>
      <w:r>
        <w:rPr>
          <w:rFonts w:hint="eastAsia" w:ascii="方正仿宋简体" w:hAnsi="方正仿宋简体" w:eastAsia="方正仿宋简体" w:cs="方正仿宋简体"/>
          <w:b/>
          <w:bCs/>
          <w:color w:val="000000"/>
          <w:kern w:val="2"/>
          <w:sz w:val="32"/>
          <w:szCs w:val="32"/>
          <w:highlight w:val="none"/>
          <w:lang w:val="en-US" w:eastAsia="zh-CN" w:bidi="ar-SA"/>
        </w:rPr>
        <w:t>验收特色种植项目的清单：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②乡、村两级实地验收现场照片 ③种苗、农资购置、机耕、病虫害防治等支出印证资料</w:t>
      </w:r>
    </w:p>
    <w:p w14:paraId="44CEAA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highlight w:val="none"/>
          <w:lang w:val="en-US" w:eastAsia="zh-CN" w:bidi="ar-SA"/>
        </w:rPr>
        <w:t>验收特色养殖（鸡、鸭、鹅、鸽子）项目的清单：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②无纸化系统备案信息截图复印件 ③防疫系统家禽免疫信息截图复印件 ④乡、村两级实地验收现场照片 ⑤家禽外购支付凭证⑧特殊情况可经网格员、邻居等人证实即可。</w:t>
      </w:r>
    </w:p>
    <w:p w14:paraId="48FD8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color w:val="000000"/>
          <w:kern w:val="2"/>
          <w:sz w:val="32"/>
          <w:szCs w:val="32"/>
          <w:highlight w:val="none"/>
          <w:lang w:val="en-US" w:eastAsia="zh-CN" w:bidi="ar-SA"/>
        </w:rPr>
        <w:t>验收特色庭院经济项目的清单：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②乡、村两级实地验收现场照片</w:t>
      </w:r>
    </w:p>
    <w:p w14:paraId="27DF8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简体" w:hAnsi="方正仿宋简体" w:cs="方正仿宋简体"/>
          <w:b/>
          <w:bCs/>
          <w:color w:val="000000"/>
          <w:kern w:val="2"/>
          <w:sz w:val="32"/>
          <w:szCs w:val="32"/>
          <w:highlight w:val="none"/>
          <w:lang w:val="en-US" w:eastAsia="zh-CN" w:bidi="ar-SA"/>
        </w:rPr>
      </w:pPr>
      <w:r>
        <w:rPr>
          <w:rFonts w:hint="eastAsia" w:ascii="方正仿宋_GB2312" w:hAnsi="方正仿宋_GB2312" w:eastAsia="方正仿宋_GB2312" w:cs="方正仿宋_GB2312"/>
          <w:b/>
          <w:bCs/>
          <w:sz w:val="32"/>
          <w:szCs w:val="32"/>
          <w:lang w:val="en-US" w:eastAsia="zh-CN"/>
        </w:rPr>
        <w:t>基础设施类项目的</w:t>
      </w:r>
      <w:r>
        <w:rPr>
          <w:rFonts w:hint="eastAsia" w:ascii="方正仿宋简体" w:hAnsi="方正仿宋简体" w:eastAsia="方正仿宋简体" w:cs="方正仿宋简体"/>
          <w:b/>
          <w:bCs/>
          <w:color w:val="000000"/>
          <w:kern w:val="2"/>
          <w:sz w:val="32"/>
          <w:szCs w:val="32"/>
          <w:highlight w:val="none"/>
          <w:lang w:val="en-US" w:eastAsia="zh-CN" w:bidi="ar-SA"/>
        </w:rPr>
        <w:t>清单</w:t>
      </w:r>
      <w:r>
        <w:rPr>
          <w:rFonts w:hint="eastAsia" w:ascii="方正仿宋_GB2312" w:hAnsi="方正仿宋_GB2312" w:eastAsia="方正仿宋_GB2312" w:cs="方正仿宋_GB2312"/>
          <w:b w:val="0"/>
          <w:bCs w:val="0"/>
          <w:sz w:val="32"/>
          <w:szCs w:val="32"/>
          <w:lang w:val="en-US" w:eastAsia="zh-CN"/>
        </w:rPr>
        <w:t>：核查青贮窖、大棚改造等设施建设规格、材质、容积、面积，对照建设标准逐项核验，确保符合建设规范、可长期使用。</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②乡、村两级实地验收现场照片</w:t>
      </w:r>
    </w:p>
    <w:p w14:paraId="051DF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cs="方正仿宋简体"/>
          <w:b/>
          <w:bCs/>
          <w:color w:val="000000"/>
          <w:kern w:val="2"/>
          <w:sz w:val="32"/>
          <w:szCs w:val="32"/>
          <w:highlight w:val="none"/>
          <w:lang w:val="en-US" w:eastAsia="zh-CN" w:bidi="ar-SA"/>
        </w:rPr>
        <w:t>5.验收</w:t>
      </w:r>
      <w:r>
        <w:rPr>
          <w:rFonts w:hint="eastAsia" w:ascii="黑体" w:hAnsi="黑体" w:eastAsia="黑体" w:cs="黑体"/>
          <w:b w:val="0"/>
          <w:bCs w:val="0"/>
          <w:spacing w:val="-3"/>
          <w:kern w:val="2"/>
          <w:sz w:val="32"/>
          <w:szCs w:val="32"/>
          <w:lang w:val="en-US" w:eastAsia="zh-CN" w:bidi="ar-SA"/>
        </w:rPr>
        <w:t>手工经济</w:t>
      </w:r>
      <w:r>
        <w:rPr>
          <w:rFonts w:hint="eastAsia" w:ascii="方正仿宋简体" w:hAnsi="方正仿宋简体" w:cs="方正仿宋简体"/>
          <w:b/>
          <w:bCs/>
          <w:color w:val="000000"/>
          <w:kern w:val="2"/>
          <w:sz w:val="32"/>
          <w:szCs w:val="32"/>
          <w:highlight w:val="none"/>
          <w:lang w:val="en-US" w:eastAsia="zh-CN" w:bidi="ar-SA"/>
        </w:rPr>
        <w:t>项目的清单：</w:t>
      </w: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②乡、村两级生产场地实地验收照片 ③经网格员、邻居等人证实即可。</w:t>
      </w:r>
    </w:p>
    <w:p w14:paraId="0A8D77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8" w:firstLineChars="200"/>
        <w:jc w:val="both"/>
        <w:textAlignment w:val="auto"/>
        <w:rPr>
          <w:rFonts w:hint="eastAsia" w:ascii="黑体" w:hAnsi="黑体" w:eastAsia="黑体" w:cs="黑体"/>
          <w:b w:val="0"/>
          <w:bCs w:val="0"/>
          <w:spacing w:val="-3"/>
          <w:kern w:val="2"/>
          <w:sz w:val="32"/>
          <w:szCs w:val="32"/>
          <w:lang w:val="en-US" w:eastAsia="zh-CN" w:bidi="ar-SA"/>
        </w:rPr>
      </w:pPr>
      <w:r>
        <w:rPr>
          <w:rFonts w:hint="eastAsia" w:ascii="黑体" w:hAnsi="黑体" w:eastAsia="黑体" w:cs="黑体"/>
          <w:b w:val="0"/>
          <w:bCs w:val="0"/>
          <w:spacing w:val="-3"/>
          <w:kern w:val="2"/>
          <w:sz w:val="32"/>
          <w:szCs w:val="32"/>
          <w:lang w:val="en-US" w:eastAsia="zh-CN" w:bidi="ar-SA"/>
        </w:rPr>
        <w:t>6、</w:t>
      </w:r>
      <w:r>
        <w:rPr>
          <w:rFonts w:hint="eastAsia" w:ascii="方正仿宋简体" w:hAnsi="方正仿宋简体" w:cs="方正仿宋简体"/>
          <w:b/>
          <w:bCs/>
          <w:color w:val="000000"/>
          <w:kern w:val="2"/>
          <w:sz w:val="32"/>
          <w:szCs w:val="32"/>
          <w:highlight w:val="none"/>
          <w:lang w:val="en-US" w:eastAsia="zh-CN" w:bidi="ar-SA"/>
        </w:rPr>
        <w:t>验收</w:t>
      </w:r>
      <w:r>
        <w:rPr>
          <w:rFonts w:hint="eastAsia" w:ascii="黑体" w:hAnsi="黑体" w:eastAsia="黑体" w:cs="黑体"/>
          <w:b w:val="0"/>
          <w:bCs w:val="0"/>
          <w:spacing w:val="-3"/>
          <w:kern w:val="2"/>
          <w:sz w:val="32"/>
          <w:szCs w:val="32"/>
          <w:lang w:val="en-US" w:eastAsia="zh-CN" w:bidi="ar-SA"/>
        </w:rPr>
        <w:t>经营性服务业</w:t>
      </w:r>
      <w:r>
        <w:rPr>
          <w:rFonts w:hint="eastAsia" w:ascii="方正仿宋简体" w:hAnsi="方正仿宋简体" w:cs="方正仿宋简体"/>
          <w:b/>
          <w:bCs/>
          <w:color w:val="000000"/>
          <w:kern w:val="2"/>
          <w:sz w:val="32"/>
          <w:szCs w:val="32"/>
          <w:highlight w:val="none"/>
          <w:lang w:val="en-US" w:eastAsia="zh-CN" w:bidi="ar-SA"/>
        </w:rPr>
        <w:t>项目的清单</w:t>
      </w:r>
    </w:p>
    <w:p w14:paraId="774A78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简体" w:hAnsi="方正仿宋简体" w:eastAsia="方正仿宋简体" w:cs="方正仿宋简体"/>
          <w:b w:val="0"/>
          <w:bCs w:val="0"/>
          <w:kern w:val="2"/>
          <w:sz w:val="32"/>
          <w:szCs w:val="32"/>
          <w:lang w:val="en-US" w:eastAsia="zh-CN" w:bidi="ar-SA"/>
        </w:rPr>
        <w:t>①农户身份证复印件、银行卡复印件 ②乡、村两级经营场所实地验收照片 ③相关资质或营业许可</w:t>
      </w:r>
      <w:r>
        <w:rPr>
          <w:rFonts w:hint="eastAsia" w:ascii="方正仿宋简体" w:hAnsi="方正仿宋简体" w:eastAsia="方正仿宋简体" w:cs="方正仿宋简体"/>
          <w:b w:val="0"/>
          <w:bCs w:val="0"/>
          <w:kern w:val="2"/>
          <w:sz w:val="32"/>
          <w:szCs w:val="32"/>
          <w:highlight w:val="none"/>
          <w:lang w:val="en-US" w:eastAsia="zh-CN" w:bidi="ar-SA"/>
        </w:rPr>
        <w:t>资料 ④经</w:t>
      </w:r>
      <w:r>
        <w:rPr>
          <w:rFonts w:hint="eastAsia" w:ascii="方正仿宋简体" w:hAnsi="方正仿宋简体" w:eastAsia="方正仿宋简体" w:cs="方正仿宋简体"/>
          <w:b w:val="0"/>
          <w:bCs w:val="0"/>
          <w:kern w:val="2"/>
          <w:sz w:val="32"/>
          <w:szCs w:val="32"/>
          <w:lang w:val="en-US" w:eastAsia="zh-CN" w:bidi="ar-SA"/>
        </w:rPr>
        <w:t>网格员、邻居等人证实即可。</w:t>
      </w:r>
    </w:p>
    <w:p w14:paraId="7D4CD5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 基础设施类项目：核查青贮窖、大棚改造等设施建设规格、材质、容积、面积，对照建设标准逐项核验，确保符合建设规范、可长期使用。</w:t>
      </w:r>
    </w:p>
    <w:p w14:paraId="373EEC6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（三）规范实施全流程</w:t>
      </w:r>
    </w:p>
    <w:p w14:paraId="5BF006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1.自主申请。补助对象对照申报条件，自愿向村委会提出申请；村委会审核汇总，落实 “四议两公开” 程序后，报乡镇核查合规性、合理性、真实性。​</w:t>
      </w:r>
    </w:p>
    <w:p w14:paraId="0D5AEA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2.审核批准。乡镇汇总申报材料，编制项目实施方案，县农业农村局牵头组织行业部门审核论证；通过后纳入县级帮扶资金项目库，报县农村工作领导小组审定。未履行审批程序的项目，不予资金扶持。​</w:t>
      </w:r>
    </w:p>
    <w:p w14:paraId="1D7146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3.组织实施。帮扶对象按批准计划实施项目；乡村两级全程跟踪进度与质量，县级行业部门提供技术指导、跟踪服务，强化日常监管。</w:t>
      </w:r>
    </w:p>
    <w:p w14:paraId="1BFBF1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4.验收核查。实行 “完成一批、验收一批”；村委会初审后，乡镇统一组织验收，出具验收意见；县级行业部门按不低于 10% 比例随机复查，合格后出具综合验收意见。</w:t>
      </w:r>
    </w:p>
    <w:p w14:paraId="4D072A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5.拨付资金。对验收合格的项目，由乡镇核定补助对象及金额，履行审批程序后，统一由县农业农村局提交县财政局通过 “一卡通”直接拨付资金。​</w:t>
      </w:r>
    </w:p>
    <w:p w14:paraId="67ED1D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6.公示公告。县农业农村局对到户产业项目清单进行公告，项目所在乡镇、村对项目申报、验收结果等关键环节进行公示，主动接受社会各界监督，公示期不少于 5 个工作日。</w:t>
      </w:r>
    </w:p>
    <w:p w14:paraId="12C6DA39">
      <w:pPr>
        <w:ind w:firstLine="643" w:firstLineChars="20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四、组织保障</w:t>
      </w:r>
    </w:p>
    <w:p w14:paraId="65A9FDFE">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县级落实常态化帮扶主体责任，合理确定到户产业奖补资金规模，细化验收标准，指导项目实施。农业农村局牵头负责到户产业奖补项目实施，管理，落实绩效主体责任；财政局指导行业主管部门加强资金监管和绩效管理；林业和草原等相关行业部门根据职能职责做好资金监管，项目指导和绩效评价。对挤占，挪用，骗取，套取奖补资金及优亲厚友的行为，对相关责任人依法依规严肃处理，对相关农户列入失信惩戒名单，取消当年申请项目奖补资格，依法追回财政资金，并承担法律责任。强化宣传引导，做好政策宣传解读，鼓励农户积极参与。</w:t>
      </w:r>
    </w:p>
    <w:p w14:paraId="4DDD8CA3">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本方案自2026年1月1日起施行。</w:t>
      </w:r>
    </w:p>
    <w:p w14:paraId="5D5106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附件：1.产业到户目录清单</w:t>
      </w:r>
    </w:p>
    <w:p w14:paraId="0177E5E3">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2.产业到户项目申请表（参考模板）</w:t>
      </w:r>
    </w:p>
    <w:p w14:paraId="174B8492">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3.产业到户项目验收表（参考模板）</w:t>
      </w:r>
    </w:p>
    <w:p w14:paraId="08C50F68">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4.产业到户项目奖补资金验收结果汇总表（参考</w:t>
      </w:r>
    </w:p>
    <w:p w14:paraId="0A2850F0">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模板）</w:t>
      </w:r>
    </w:p>
    <w:p w14:paraId="345ACA6F">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5.产业到户项目奖补资金拨付申请表（参考模板）</w:t>
      </w:r>
    </w:p>
    <w:p w14:paraId="26ADDCE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6.产业到户项目补助流程（参考模板）</w:t>
      </w:r>
    </w:p>
    <w:p w14:paraId="2D3C33A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b w:val="0"/>
          <w:bCs w:val="0"/>
          <w:sz w:val="32"/>
          <w:szCs w:val="32"/>
          <w:lang w:val="en-US" w:eastAsia="zh-CN"/>
        </w:rPr>
      </w:pPr>
    </w:p>
    <w:p w14:paraId="6948D485">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伊宁县农村工作领导小组办公室</w:t>
      </w:r>
    </w:p>
    <w:p w14:paraId="197A191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4160" w:firstLineChars="13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2026年6月1日</w:t>
      </w:r>
    </w:p>
    <w:p w14:paraId="28EB26C0">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8EC9A-009E-4FF8-A8F0-F4171006E9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7C867A-1998-468A-B3D3-CEB7493FDAA1}"/>
  </w:font>
  <w:font w:name="方正仿宋_GB2312">
    <w:panose1 w:val="02000000000000000000"/>
    <w:charset w:val="86"/>
    <w:family w:val="auto"/>
    <w:pitch w:val="default"/>
    <w:sig w:usb0="A00002BF" w:usb1="184F6CFA" w:usb2="00000012" w:usb3="00000000" w:csb0="00040001" w:csb1="00000000"/>
    <w:embedRegular r:id="rId3" w:fontKey="{C8D60E3A-088C-4410-9535-3C23AC1B2E72}"/>
  </w:font>
  <w:font w:name="微软雅黑">
    <w:panose1 w:val="020B0503020204020204"/>
    <w:charset w:val="86"/>
    <w:family w:val="auto"/>
    <w:pitch w:val="default"/>
    <w:sig w:usb0="80000287" w:usb1="2ACF3C50" w:usb2="00000016" w:usb3="00000000" w:csb0="0004001F" w:csb1="00000000"/>
    <w:embedRegular r:id="rId4" w:fontKey="{10979ABD-FAAF-4EA2-9171-DC18E9CBF094}"/>
  </w:font>
  <w:font w:name="楷体_GB2312">
    <w:panose1 w:val="02010609030101010101"/>
    <w:charset w:val="86"/>
    <w:family w:val="auto"/>
    <w:pitch w:val="default"/>
    <w:sig w:usb0="00000001" w:usb1="080E0000" w:usb2="00000000" w:usb3="00000000" w:csb0="00040000" w:csb1="00000000"/>
    <w:embedRegular r:id="rId5" w:fontKey="{E45F1888-AAC6-4F03-98AF-749A36176C8F}"/>
  </w:font>
  <w:font w:name="仿宋_GB2312">
    <w:panose1 w:val="02010609030101010101"/>
    <w:charset w:val="86"/>
    <w:family w:val="modern"/>
    <w:pitch w:val="default"/>
    <w:sig w:usb0="00000001" w:usb1="080E0000" w:usb2="00000000" w:usb3="00000000" w:csb0="00040000" w:csb1="00000000"/>
    <w:embedRegular r:id="rId6" w:fontKey="{9BBDB70C-32E2-4665-BC8E-6C20DB9BE1DA}"/>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5B18">
    <w:pPr>
      <w:keepNext w:val="0"/>
      <w:keepLines w:val="0"/>
      <w:pageBreakBefore w:val="0"/>
      <w:widowControl w:val="0"/>
      <w:tabs>
        <w:tab w:val="center" w:pos="4153"/>
        <w:tab w:val="right" w:pos="8306"/>
      </w:tabs>
      <w:kinsoku/>
      <w:wordWrap/>
      <w:overflowPunct/>
      <w:topLinePunct w:val="0"/>
      <w:bidi w:val="0"/>
      <w:adjustRightInd/>
      <w:snapToGrid/>
      <w:ind w:left="0" w:leftChars="0" w:firstLine="0" w:firstLineChars="0"/>
      <w:textAlignment w:val="auto"/>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F2BBAC8">
                          <w:pPr>
                            <w:pStyle w:val="9"/>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0pt;height:144pt;width:144pt;mso-position-horizontal:outside;mso-position-horizontal-relative:margin;mso-wrap-style:none;z-index:251659264;mso-width-relative:page;mso-height-relative:page;" filled="f" stroked="f" coordsize="21600,21600" o:gfxdata="UEsDBAoAAAAAAIdO4kAAAAAAAAAAAAAAAAAEAAAAZHJzL1BLAwQUAAAACACHTuJAeYLbPtUAAAAH&#10;AQAADwAAAGRycy9kb3ducmV2LnhtbE2PvU7EMBCEeyTewVokGsQ5CRJEIZsrONHQAHdwovTFSxJh&#10;r6PYuR+enqWCblazmvmmXh69U3ua4hAYIV9koIjbYAfuEN42j9clqJgMW+MCE8KJIiyb87PaVDYc&#10;+JX269QpCeFYGYQ+pbHSOrY9eRMXYSQW7zNM3iQ5p07byRwk3DtdZNmt9mZgaejNSA89tV/r2SOs&#10;Ts9uzl+e4vDBq2++2m43d+8F4uVFnt2DSnRMf8/wiy/o0AjTLsxso3IIMiQhSAcocYuyFLFDuMlE&#10;6KbW//mbH1BLAwQUAAAACACHTuJAXukj9c8BAAClAwAADgAAAGRycy9lMm9Eb2MueG1srVPNbtsw&#10;DL4X2DsIui92c9gCI06xIegwYNgGdH0ARZZjAfoDqcTOC2xvsNMuvfe58hyjZDvduksPu8gUSX3k&#10;95Fe3wzWsKMC1N7V/HpRcqac9I12+5rff7t9veIMo3CNMN6pmp8U8pvNq6t1Hyq19J03jQJGIA6r&#10;PtS8izFURYGyU1bgwgflKNh6sCLSFfZFA6IndGuKZVm+KXoPTQAvFSJ5t2OQT4jwEkDftlqqrZcH&#10;q1wcUUEZEYkSdjog3+Ru21bJ+KVtUUVmak5MYz6pCNm7dBabtaj2IEKn5dSCeEkLzzhZoR0VvUBt&#10;RRTsAPofKKslePRtXEhvi5FIVoRYXJfPtLnrRFCZC0mN4SI6/j9Y+fn4FZhuaBOWnDlhaeLnnz/O&#10;vx7PD98Z+UigPmBFeXeBMuPw3g+UPPuRnIn30IJNX2LEKE7yni7yqiEymR6tlqtVSSFJsflC+MXT&#10;8wAYPyhvWTJqDjS/LKs4fsI4ps4pqZrzt9qYPEPjWJ9IvKUCf4UI3TgqkliM3SYrDrthorbzzYmY&#10;9bQENXe085yZj440TvsyGzAbu9k4BND7Li9Uqofh3SFSO7nLVGGEnQrT9DLPadPSevx5z1lPf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mC2z7VAAAABwEAAA8AAAAAAAAAAQAgAAAAIgAAAGRy&#10;cy9kb3ducmV2LnhtbFBLAQIUABQAAAAIAIdO4kBe6SP1zwEAAKUDAAAOAAAAAAAAAAEAIAAAACQB&#10;AABkcnMvZTJvRG9jLnhtbFBLBQYAAAAABgAGAFkBAABlBQAAAAA=&#10;">
              <v:fill on="f" focussize="0,0"/>
              <v:stroke on="f" weight="1pt"/>
              <v:imagedata o:title=""/>
              <o:lock v:ext="edit" aspectratio="f"/>
              <v:textbox inset="0mm,0mm,0mm,0mm" style="mso-fit-shape-to-text:t;">
                <w:txbxContent>
                  <w:p w14:paraId="7F2BBAC8">
                    <w:pPr>
                      <w:pStyle w:val="9"/>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AB78">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95CCE"/>
    <w:multiLevelType w:val="singleLevel"/>
    <w:tmpl w:val="B1495C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7742"/>
    <w:rsid w:val="058A5E9A"/>
    <w:rsid w:val="06367DD0"/>
    <w:rsid w:val="06387284"/>
    <w:rsid w:val="07736C45"/>
    <w:rsid w:val="079761D8"/>
    <w:rsid w:val="084C43AA"/>
    <w:rsid w:val="08513720"/>
    <w:rsid w:val="097E145D"/>
    <w:rsid w:val="0A5847B8"/>
    <w:rsid w:val="0B774C0C"/>
    <w:rsid w:val="0C12116A"/>
    <w:rsid w:val="0DC2559B"/>
    <w:rsid w:val="0EBE650C"/>
    <w:rsid w:val="0FB65194"/>
    <w:rsid w:val="101E5E95"/>
    <w:rsid w:val="1084354E"/>
    <w:rsid w:val="16907088"/>
    <w:rsid w:val="1B79458F"/>
    <w:rsid w:val="1BB621A1"/>
    <w:rsid w:val="1F011A6A"/>
    <w:rsid w:val="216E28D3"/>
    <w:rsid w:val="21D72584"/>
    <w:rsid w:val="22D827CF"/>
    <w:rsid w:val="23A51994"/>
    <w:rsid w:val="23FC5D5D"/>
    <w:rsid w:val="2469240B"/>
    <w:rsid w:val="24831FDA"/>
    <w:rsid w:val="26697BF4"/>
    <w:rsid w:val="266F0A68"/>
    <w:rsid w:val="26C54B2C"/>
    <w:rsid w:val="28810F26"/>
    <w:rsid w:val="29CE021D"/>
    <w:rsid w:val="29DD61A9"/>
    <w:rsid w:val="2B1716CE"/>
    <w:rsid w:val="2B2D0EF2"/>
    <w:rsid w:val="2B2D3242"/>
    <w:rsid w:val="2B932F29"/>
    <w:rsid w:val="2D1947D0"/>
    <w:rsid w:val="2F6F1F59"/>
    <w:rsid w:val="314B2685"/>
    <w:rsid w:val="320B4127"/>
    <w:rsid w:val="33F22CD8"/>
    <w:rsid w:val="36375E47"/>
    <w:rsid w:val="383039E9"/>
    <w:rsid w:val="38D330D8"/>
    <w:rsid w:val="39E7368D"/>
    <w:rsid w:val="39F414BF"/>
    <w:rsid w:val="3A754CBC"/>
    <w:rsid w:val="3B275153"/>
    <w:rsid w:val="3CE43A2A"/>
    <w:rsid w:val="3D3C322E"/>
    <w:rsid w:val="3FEF631E"/>
    <w:rsid w:val="40240F49"/>
    <w:rsid w:val="417B60BB"/>
    <w:rsid w:val="417F64AD"/>
    <w:rsid w:val="433340CF"/>
    <w:rsid w:val="44572BAD"/>
    <w:rsid w:val="458A0FC3"/>
    <w:rsid w:val="45D64208"/>
    <w:rsid w:val="464258BB"/>
    <w:rsid w:val="47217705"/>
    <w:rsid w:val="4986134E"/>
    <w:rsid w:val="4A75755E"/>
    <w:rsid w:val="4AFE0922"/>
    <w:rsid w:val="4B310E2D"/>
    <w:rsid w:val="4B9D4816"/>
    <w:rsid w:val="4BEF76EC"/>
    <w:rsid w:val="4C2A768F"/>
    <w:rsid w:val="4C72630D"/>
    <w:rsid w:val="4F754A92"/>
    <w:rsid w:val="51E25CE3"/>
    <w:rsid w:val="528D1154"/>
    <w:rsid w:val="53E41AB0"/>
    <w:rsid w:val="563F1955"/>
    <w:rsid w:val="59D6612D"/>
    <w:rsid w:val="5BE75F35"/>
    <w:rsid w:val="5DBC2794"/>
    <w:rsid w:val="6091637B"/>
    <w:rsid w:val="60A42E1E"/>
    <w:rsid w:val="610077FC"/>
    <w:rsid w:val="61F3051F"/>
    <w:rsid w:val="63057105"/>
    <w:rsid w:val="644B558F"/>
    <w:rsid w:val="658D4999"/>
    <w:rsid w:val="695157D0"/>
    <w:rsid w:val="695305FF"/>
    <w:rsid w:val="69C65A28"/>
    <w:rsid w:val="69E5785B"/>
    <w:rsid w:val="69EF5E88"/>
    <w:rsid w:val="6B3665B1"/>
    <w:rsid w:val="6B4B624F"/>
    <w:rsid w:val="6B903E85"/>
    <w:rsid w:val="6BF5162B"/>
    <w:rsid w:val="6E065A4F"/>
    <w:rsid w:val="6FD40F09"/>
    <w:rsid w:val="7065205B"/>
    <w:rsid w:val="70756248"/>
    <w:rsid w:val="72D51031"/>
    <w:rsid w:val="7523723A"/>
    <w:rsid w:val="770976EA"/>
    <w:rsid w:val="770B70DA"/>
    <w:rsid w:val="78DD585B"/>
    <w:rsid w:val="79725A24"/>
    <w:rsid w:val="7A01237D"/>
    <w:rsid w:val="7A7F1A71"/>
    <w:rsid w:val="7AB076DD"/>
    <w:rsid w:val="7C6B04AB"/>
    <w:rsid w:val="7E662890"/>
    <w:rsid w:val="7F35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0"/>
      <w:ind w:firstLine="420" w:firstLineChars="200"/>
    </w:pPr>
    <w:rPr>
      <w:rFonts w:ascii="Calibri" w:hAnsi="Calibri" w:eastAsia="宋体" w:cs="Times New Roman"/>
      <w:szCs w:val="24"/>
    </w:r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next w:val="5"/>
    <w:unhideWhenUsed/>
    <w:qFormat/>
    <w:uiPriority w:val="99"/>
    <w:pPr>
      <w:ind w:firstLine="420"/>
    </w:pPr>
    <w:rPr>
      <w:rFonts w:ascii="Times New Roman" w:hAnsi="Times New Roman"/>
      <w:szCs w:val="20"/>
    </w:rPr>
  </w:style>
  <w:style w:type="paragraph" w:styleId="5">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Body Text First Indent"/>
    <w:basedOn w:val="5"/>
    <w:next w:val="1"/>
    <w:unhideWhenUsed/>
    <w:qFormat/>
    <w:uiPriority w:val="99"/>
    <w:pPr>
      <w:ind w:firstLine="420" w:firstLineChars="100"/>
    </w:p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12" w:lineRule="atLeast"/>
      <w:ind w:left="420" w:hanging="420"/>
      <w:textAlignment w:val="baseline"/>
    </w:pPr>
    <w:rPr>
      <w:kern w:val="0"/>
      <w:szCs w:val="20"/>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4936</Words>
  <Characters>5093</Characters>
  <Lines>0</Lines>
  <Paragraphs>0</Paragraphs>
  <TotalTime>7</TotalTime>
  <ScaleCrop>false</ScaleCrop>
  <LinksUpToDate>false</LinksUpToDate>
  <CharactersWithSpaces>5140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2026-03-13T03:31:00Z</dcterms:created>
  <dc:creator>admin</dc:creator>
  <cp:lastModifiedBy>沉默的熊</cp:lastModifiedBy>
  <dcterms:modified xsi:type="dcterms:W3CDTF">2026-06-12T04:39:48Z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eyJoZGlkIjoiN2YzNjBkOTgyNWQ1YTMxYzM3MzMwNWFiODNmOWIzYWMiLCJ1c2VySWQiOiIxMDQ3NjMyMTIwIn0=</vt:lpwstr>
  </property>
  <property fmtid="{D5CDD505-2E9C-101B-9397-08002B2CF9AE}" pid="4" name="ICV">
    <vt:lpwstr>A7E0FE5A3E524FF4AE00049AE5C7C1E8</vt:lpwstr>
  </property>
</Properties>
</file>